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5F29B">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2F9B5852">
      <w:pPr>
        <w:rPr>
          <w:rFonts w:hint="default" w:ascii="Times New Roman" w:hAnsi="Times New Roman" w:cs="Times New Roman"/>
        </w:rPr>
      </w:pPr>
    </w:p>
    <w:p w14:paraId="79014E89">
      <w:pPr>
        <w:rPr>
          <w:rFonts w:hint="default" w:ascii="Times New Roman" w:hAnsi="Times New Roman" w:cs="Times New Roman"/>
        </w:rPr>
      </w:pPr>
    </w:p>
    <w:p w14:paraId="048FFE1F">
      <w:pPr>
        <w:rPr>
          <w:rFonts w:hint="default" w:ascii="Times New Roman" w:hAnsi="Times New Roman" w:cs="Times New Roman"/>
        </w:rPr>
      </w:pPr>
    </w:p>
    <w:p w14:paraId="11BBABA4">
      <w:pPr>
        <w:rPr>
          <w:rFonts w:hint="default" w:ascii="Times New Roman" w:hAnsi="Times New Roman" w:cs="Times New Roman"/>
        </w:rPr>
      </w:pPr>
    </w:p>
    <w:p w14:paraId="3F9B3FB6">
      <w:pPr>
        <w:rPr>
          <w:rFonts w:hint="default" w:ascii="Times New Roman" w:hAnsi="Times New Roman" w:cs="Times New Roman"/>
        </w:rPr>
      </w:pPr>
    </w:p>
    <w:p w14:paraId="7D9C2505">
      <w:pPr>
        <w:rPr>
          <w:rFonts w:hint="default" w:ascii="Times New Roman" w:hAnsi="Times New Roman" w:cs="Times New Roman"/>
        </w:rPr>
      </w:pPr>
    </w:p>
    <w:p w14:paraId="2C999E83">
      <w:pPr>
        <w:rPr>
          <w:rFonts w:hint="default" w:ascii="Times New Roman" w:hAnsi="Times New Roman" w:cs="Times New Roman"/>
        </w:rPr>
      </w:pPr>
    </w:p>
    <w:p w14:paraId="7587E139">
      <w:pPr>
        <w:rPr>
          <w:rFonts w:hint="default" w:ascii="Times New Roman" w:hAnsi="Times New Roman" w:cs="Times New Roman"/>
        </w:rPr>
      </w:pPr>
    </w:p>
    <w:p w14:paraId="0A680ECD">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投资促进中心</w:t>
      </w:r>
      <w:r>
        <w:rPr>
          <w:rFonts w:hint="default" w:ascii="Times New Roman" w:hAnsi="Times New Roman" w:eastAsia="华文中宋" w:cs="Times New Roman"/>
          <w:b/>
          <w:sz w:val="44"/>
          <w:szCs w:val="44"/>
        </w:rPr>
        <w:t>2024年</w:t>
      </w:r>
    </w:p>
    <w:p w14:paraId="1BEF2A16">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lang w:eastAsia="zh-CN"/>
        </w:rPr>
        <w:t>部门</w:t>
      </w:r>
      <w:r>
        <w:rPr>
          <w:rFonts w:hint="default" w:ascii="Times New Roman" w:hAnsi="Times New Roman" w:eastAsia="华文中宋" w:cs="Times New Roman"/>
          <w:b/>
          <w:sz w:val="44"/>
          <w:szCs w:val="44"/>
        </w:rPr>
        <w:t>预算</w:t>
      </w:r>
    </w:p>
    <w:p w14:paraId="2CED1493">
      <w:pPr>
        <w:rPr>
          <w:rFonts w:hint="default" w:ascii="Times New Roman" w:hAnsi="Times New Roman" w:cs="Times New Roman"/>
        </w:rPr>
      </w:pPr>
    </w:p>
    <w:p w14:paraId="2F3456BE">
      <w:pPr>
        <w:rPr>
          <w:rFonts w:hint="default" w:ascii="Times New Roman" w:hAnsi="Times New Roman" w:cs="Times New Roman"/>
        </w:rPr>
      </w:pPr>
    </w:p>
    <w:p w14:paraId="0B70660B">
      <w:pPr>
        <w:rPr>
          <w:rFonts w:hint="default" w:ascii="Times New Roman" w:hAnsi="Times New Roman" w:cs="Times New Roman"/>
        </w:rPr>
      </w:pPr>
    </w:p>
    <w:p w14:paraId="1196182D">
      <w:pPr>
        <w:rPr>
          <w:rFonts w:hint="default" w:ascii="Times New Roman" w:hAnsi="Times New Roman" w:cs="Times New Roman"/>
        </w:rPr>
      </w:pPr>
    </w:p>
    <w:p w14:paraId="2D3ED081">
      <w:pPr>
        <w:rPr>
          <w:rFonts w:hint="default" w:ascii="Times New Roman" w:hAnsi="Times New Roman" w:cs="Times New Roman"/>
        </w:rPr>
      </w:pPr>
    </w:p>
    <w:p w14:paraId="2BC27B85">
      <w:pPr>
        <w:rPr>
          <w:rFonts w:hint="default" w:ascii="Times New Roman" w:hAnsi="Times New Roman" w:cs="Times New Roman"/>
        </w:rPr>
      </w:pPr>
    </w:p>
    <w:p w14:paraId="24F70C76">
      <w:pPr>
        <w:rPr>
          <w:rFonts w:hint="default" w:ascii="Times New Roman" w:hAnsi="Times New Roman" w:cs="Times New Roman"/>
        </w:rPr>
      </w:pPr>
    </w:p>
    <w:p w14:paraId="2014E1FE">
      <w:pPr>
        <w:rPr>
          <w:rFonts w:hint="default" w:ascii="Times New Roman" w:hAnsi="Times New Roman" w:cs="Times New Roman"/>
        </w:rPr>
      </w:pPr>
    </w:p>
    <w:p w14:paraId="24C34A17">
      <w:pPr>
        <w:rPr>
          <w:rFonts w:hint="default" w:ascii="Times New Roman" w:hAnsi="Times New Roman" w:cs="Times New Roman"/>
        </w:rPr>
      </w:pPr>
    </w:p>
    <w:p w14:paraId="29A317A9">
      <w:pPr>
        <w:rPr>
          <w:rFonts w:hint="default" w:ascii="Times New Roman" w:hAnsi="Times New Roman" w:cs="Times New Roman"/>
        </w:rPr>
      </w:pPr>
    </w:p>
    <w:p w14:paraId="55E790D6">
      <w:pPr>
        <w:rPr>
          <w:rFonts w:hint="default" w:ascii="Times New Roman" w:hAnsi="Times New Roman" w:cs="Times New Roman"/>
        </w:rPr>
      </w:pPr>
    </w:p>
    <w:p w14:paraId="70795828">
      <w:pPr>
        <w:rPr>
          <w:rFonts w:hint="default" w:ascii="Times New Roman" w:hAnsi="Times New Roman" w:cs="Times New Roman"/>
        </w:rPr>
      </w:pPr>
    </w:p>
    <w:p w14:paraId="5575CC5E">
      <w:pPr>
        <w:rPr>
          <w:rFonts w:hint="default" w:ascii="Times New Roman" w:hAnsi="Times New Roman" w:cs="Times New Roman"/>
        </w:rPr>
      </w:pPr>
    </w:p>
    <w:p w14:paraId="6E94C09A">
      <w:pPr>
        <w:rPr>
          <w:rFonts w:hint="default" w:ascii="Times New Roman" w:hAnsi="Times New Roman" w:cs="Times New Roman"/>
        </w:rPr>
      </w:pPr>
    </w:p>
    <w:p w14:paraId="22DE1818">
      <w:pPr>
        <w:rPr>
          <w:rFonts w:hint="default" w:ascii="Times New Roman" w:hAnsi="Times New Roman" w:cs="Times New Roman"/>
        </w:rPr>
      </w:pPr>
    </w:p>
    <w:p w14:paraId="71A3FEE6">
      <w:pPr>
        <w:rPr>
          <w:rFonts w:hint="default" w:ascii="Times New Roman" w:hAnsi="Times New Roman" w:cs="Times New Roman"/>
        </w:rPr>
      </w:pPr>
    </w:p>
    <w:p w14:paraId="37CBD31B">
      <w:pPr>
        <w:rPr>
          <w:rFonts w:hint="default" w:ascii="Times New Roman" w:hAnsi="Times New Roman" w:cs="Times New Roman"/>
        </w:rPr>
      </w:pPr>
    </w:p>
    <w:p w14:paraId="64BF93CA">
      <w:pPr>
        <w:rPr>
          <w:rFonts w:hint="default" w:ascii="Times New Roman" w:hAnsi="Times New Roman" w:cs="Times New Roman"/>
        </w:rPr>
      </w:pPr>
    </w:p>
    <w:p w14:paraId="54C9EF66">
      <w:pPr>
        <w:rPr>
          <w:rFonts w:hint="default" w:ascii="Times New Roman" w:hAnsi="Times New Roman" w:cs="Times New Roman"/>
        </w:rPr>
      </w:pPr>
    </w:p>
    <w:p w14:paraId="5CBA0D57">
      <w:pPr>
        <w:rPr>
          <w:rFonts w:hint="default" w:ascii="Times New Roman" w:hAnsi="Times New Roman" w:cs="Times New Roman"/>
        </w:rPr>
      </w:pPr>
    </w:p>
    <w:p w14:paraId="1BE0973E">
      <w:pPr>
        <w:rPr>
          <w:rFonts w:hint="default" w:ascii="Times New Roman" w:hAnsi="Times New Roman" w:cs="Times New Roman"/>
        </w:rPr>
      </w:pPr>
    </w:p>
    <w:p w14:paraId="515328FF">
      <w:pPr>
        <w:rPr>
          <w:rFonts w:hint="default" w:ascii="Times New Roman" w:hAnsi="Times New Roman" w:cs="Times New Roman"/>
        </w:rPr>
      </w:pPr>
    </w:p>
    <w:p w14:paraId="50C5D25B">
      <w:pPr>
        <w:pStyle w:val="6"/>
        <w:adjustRightInd w:val="0"/>
        <w:snapToGrid w:val="0"/>
        <w:spacing w:line="560" w:lineRule="exact"/>
        <w:jc w:val="center"/>
        <w:rPr>
          <w:rFonts w:hint="default" w:ascii="Times New Roman" w:hAnsi="Times New Roman" w:eastAsia="黑体" w:cs="Times New Roman"/>
          <w:bCs/>
          <w:sz w:val="44"/>
          <w:szCs w:val="44"/>
        </w:rPr>
      </w:pPr>
    </w:p>
    <w:p w14:paraId="7254295B">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132C62E3">
      <w:pPr>
        <w:rPr>
          <w:rFonts w:hint="default" w:ascii="Times New Roman" w:hAnsi="Times New Roman" w:cs="Times New Roman"/>
        </w:rPr>
      </w:pPr>
    </w:p>
    <w:p w14:paraId="1F5730C6">
      <w:pPr>
        <w:rPr>
          <w:rFonts w:hint="default" w:ascii="Times New Roman" w:hAnsi="Times New Roman" w:cs="Times New Roman"/>
        </w:rPr>
      </w:pPr>
    </w:p>
    <w:p w14:paraId="6F260A6E">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1D710046">
      <w:pPr>
        <w:rPr>
          <w:rFonts w:hint="default" w:ascii="Times New Roman" w:hAnsi="Times New Roman" w:cs="Times New Roman"/>
        </w:rPr>
      </w:pPr>
    </w:p>
    <w:p w14:paraId="50742B7B">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概况</w:t>
      </w:r>
    </w:p>
    <w:p w14:paraId="5C6672CF">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713F55F3">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部门</w:t>
      </w:r>
      <w:r>
        <w:rPr>
          <w:rFonts w:hint="default" w:ascii="Times New Roman" w:hAnsi="Times New Roman" w:eastAsia="仿宋_GB2312" w:cs="Times New Roman"/>
          <w:bCs/>
          <w:sz w:val="32"/>
          <w:szCs w:val="32"/>
        </w:rPr>
        <w:t>预算构成</w:t>
      </w:r>
    </w:p>
    <w:p w14:paraId="4AE9ADA5">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、2024年度主要工作任务</w:t>
      </w:r>
    </w:p>
    <w:p w14:paraId="5D9FC626">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2024年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预算表</w:t>
      </w:r>
    </w:p>
    <w:p w14:paraId="4A26543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2024年收支总表</w:t>
      </w:r>
    </w:p>
    <w:p w14:paraId="3374BED2">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2024年收入总表</w:t>
      </w:r>
    </w:p>
    <w:p w14:paraId="65C2D7BE">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2024年支出总表</w:t>
      </w:r>
    </w:p>
    <w:p w14:paraId="08847FD7">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2024年财政拨款收支总表</w:t>
      </w:r>
    </w:p>
    <w:p w14:paraId="2ACCD641">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2024年一般公共预算支出表</w:t>
      </w:r>
    </w:p>
    <w:p w14:paraId="0B04CBD2">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2024年一般公共预算基本支出表</w:t>
      </w:r>
    </w:p>
    <w:p w14:paraId="0A1C99A0">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2024年政府性基金预算支出表</w:t>
      </w:r>
    </w:p>
    <w:p w14:paraId="4FA94615">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2024年国有资本经营预算支出表</w:t>
      </w:r>
    </w:p>
    <w:p w14:paraId="51311E6B">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2024年项目支出表</w:t>
      </w:r>
    </w:p>
    <w:p w14:paraId="433B4F8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2024年政府采购支出表</w:t>
      </w:r>
    </w:p>
    <w:p w14:paraId="18A21ED2">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2024年政府购买服务支出表</w:t>
      </w:r>
    </w:p>
    <w:p w14:paraId="1D70B1E8">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2024年通用资产配置支出表</w:t>
      </w:r>
    </w:p>
    <w:p w14:paraId="012E1BE0">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2024年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预算情况说明</w:t>
      </w:r>
    </w:p>
    <w:p w14:paraId="4F633D12">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14:paraId="17A77B23">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14:paraId="68A1D136">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14:paraId="1E23FB42">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14:paraId="645DC093">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14:paraId="6261E763">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14:paraId="3AEDC9F4">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14:paraId="5558FF3F">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14:paraId="02462601">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14:paraId="47DCD98A">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14:paraId="74F07EE5">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14:paraId="79DFBD9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66FE4228">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053DE383">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32A36780">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2024年部门预算纳入绩效考评项目表</w:t>
      </w:r>
    </w:p>
    <w:p w14:paraId="320FDC2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2024年部门预算专项资金管理清单（专栏公开）</w:t>
      </w:r>
    </w:p>
    <w:p w14:paraId="77459D2A">
      <w:pP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br w:type="page"/>
      </w:r>
    </w:p>
    <w:p w14:paraId="0011F3D1">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概况</w:t>
      </w:r>
    </w:p>
    <w:p w14:paraId="00409212">
      <w:pPr>
        <w:rPr>
          <w:rFonts w:hint="default" w:ascii="Times New Roman" w:hAnsi="Times New Roman" w:cs="Times New Roman"/>
        </w:rPr>
      </w:pPr>
    </w:p>
    <w:p w14:paraId="666F5B5E">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1DBC2A52">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（一）负责研究拟订全市招商引资的具体政策和配套措施；加强全市优势资源、主导产业的政策研究，编制全市招商引资及经济协作中长期规划和年度目标，编制年度招商引资计划并监督实施。</w:t>
      </w:r>
    </w:p>
    <w:p w14:paraId="37ABD579">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（二）统筹协调全市招商引资工作，拟订全市大型招商引资活动方案，组织协调全市招商引资项目的收集、整理、筛选、编印和信息发布工作。</w:t>
      </w:r>
    </w:p>
    <w:p w14:paraId="2AD3148B">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负责市政府确定的市级重点招商引资项目的推介、洽谈和协调工作；会同有关部门收集、发布全市重点招商引资项目和招商资料；负责建设和管理全市招商引资重点客户库；参与督查、推进全市重点招商项目的建设进度。</w:t>
      </w:r>
    </w:p>
    <w:p w14:paraId="2198E9D7">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（四）负责全市招商引资数据统计、情况分析和汇总上报；落实招商引资引荐人资格和奖励，对招商引资绩效进行定性、定量考核，落实奖惩政策。</w:t>
      </w:r>
    </w:p>
    <w:p w14:paraId="33A7534B">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（五）负责国（境）内外企业或代表团来淮考察投资活动的联络、协调和接待工作，承办市政府代表团国（境）外招商引资活动；负责组织招商引资专业人员培训。</w:t>
      </w:r>
    </w:p>
    <w:p w14:paraId="3726E889">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（六）为来淮投资者提供全面的咨询服务，负责全市招商引资项目的跟踪服务，协调有关部门解决客商反映的具体问题。</w:t>
      </w:r>
    </w:p>
    <w:p w14:paraId="67CE88FE">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（七）负责指导市经济开发区、煤化工基地、县区招商部门及市政府驻外办事处开展招商引资工作。</w:t>
      </w:r>
    </w:p>
    <w:p w14:paraId="5A31AB6E">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（八）做好招商引资信息平台运行维护及全市招商引资及经济协作信息网络建设和管理；负责对外经济协作，协调重大产业招商项目的载体选择。</w:t>
      </w:r>
    </w:p>
    <w:p w14:paraId="02995C7D">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（九）承办市政府交办的其他事项。</w:t>
      </w:r>
    </w:p>
    <w:p w14:paraId="2D1A2B75">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default" w:ascii="Times New Roman" w:hAnsi="Times New Roman" w:eastAsia="黑体" w:cs="Times New Roman"/>
          <w:bCs/>
          <w:sz w:val="32"/>
          <w:szCs w:val="32"/>
          <w:lang w:eastAsia="zh-CN"/>
        </w:rPr>
        <w:t>部门</w:t>
      </w:r>
      <w:r>
        <w:rPr>
          <w:rFonts w:hint="default" w:ascii="Times New Roman" w:hAnsi="Times New Roman" w:eastAsia="黑体" w:cs="Times New Roman"/>
          <w:bCs/>
          <w:sz w:val="32"/>
          <w:szCs w:val="32"/>
        </w:rPr>
        <w:t>预算构成</w:t>
      </w:r>
    </w:p>
    <w:p w14:paraId="0BEF449D">
      <w:pPr>
        <w:pStyle w:val="6"/>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sz w:val="32"/>
          <w:szCs w:val="32"/>
        </w:rPr>
        <w:t>2024年度部门预算仅包括</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本级预算，无其他下属单位预算。</w:t>
      </w:r>
    </w:p>
    <w:p w14:paraId="39362B4E">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14:paraId="50AF8A1B">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b/>
          <w:sz w:val="32"/>
          <w:szCs w:val="32"/>
          <w:u w:val="none"/>
        </w:rPr>
        <w:t>（一）突出鲜明导向</w:t>
      </w:r>
    </w:p>
    <w:p w14:paraId="361CC567">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sz w:val="32"/>
          <w:szCs w:val="32"/>
          <w:u w:val="none"/>
        </w:rPr>
        <w:t>坚持招大引强。</w:t>
      </w:r>
      <w:r>
        <w:rPr>
          <w:rFonts w:hint="default" w:ascii="Times New Roman" w:hAnsi="Times New Roman" w:eastAsia="仿宋_GB2312" w:cs="Times New Roman"/>
          <w:bCs/>
          <w:sz w:val="32"/>
          <w:szCs w:val="32"/>
          <w:u w:val="none"/>
        </w:rPr>
        <w:t>逐年提高投资3亿元以上签约项目占比，2024达到30%以上，</w:t>
      </w:r>
      <w:r>
        <w:rPr>
          <w:rFonts w:hint="default" w:ascii="Times New Roman" w:hAnsi="Times New Roman" w:eastAsia="仿宋_GB2312" w:cs="Times New Roman"/>
          <w:bCs/>
          <w:sz w:val="32"/>
          <w:szCs w:val="32"/>
          <w:u w:val="none"/>
          <w:lang w:eastAsia="zh-CN"/>
        </w:rPr>
        <w:t>力争</w:t>
      </w:r>
      <w:r>
        <w:rPr>
          <w:rFonts w:hint="default" w:ascii="Times New Roman" w:hAnsi="Times New Roman" w:eastAsia="仿宋_GB2312" w:cs="Times New Roman"/>
          <w:bCs/>
          <w:sz w:val="32"/>
          <w:szCs w:val="32"/>
          <w:u w:val="none"/>
        </w:rPr>
        <w:t>经过3年努力，每年均在50%以上。围绕“五群十链”，聚焦“两新一高”，瞄准省内外央企国企、外企和知名民企，集中精力引进标志性、引领性头部企业。各开发园区立足招商引资“主战场”定位，</w:t>
      </w:r>
      <w:r>
        <w:rPr>
          <w:rFonts w:hint="default" w:ascii="Times New Roman" w:hAnsi="Times New Roman" w:eastAsia="仿宋_GB2312" w:cs="Times New Roman"/>
          <w:sz w:val="32"/>
          <w:szCs w:val="32"/>
          <w:u w:val="none"/>
        </w:rPr>
        <w:t>全力在</w:t>
      </w:r>
      <w:r>
        <w:rPr>
          <w:rFonts w:hint="default" w:ascii="Times New Roman" w:hAnsi="Times New Roman" w:eastAsia="仿宋_GB2312" w:cs="Times New Roman"/>
          <w:sz w:val="32"/>
          <w:szCs w:val="32"/>
          <w:u w:val="none"/>
          <w:lang w:eastAsia="zh-CN"/>
        </w:rPr>
        <w:t>引进</w:t>
      </w:r>
      <w:r>
        <w:rPr>
          <w:rFonts w:hint="default" w:ascii="Times New Roman" w:hAnsi="Times New Roman" w:eastAsia="仿宋_GB2312" w:cs="Times New Roman"/>
          <w:sz w:val="32"/>
          <w:szCs w:val="32"/>
          <w:u w:val="none"/>
        </w:rPr>
        <w:t>投资50亿元以上项目上实现新突破。</w:t>
      </w:r>
    </w:p>
    <w:p w14:paraId="60D3B010">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sz w:val="32"/>
          <w:szCs w:val="32"/>
          <w:u w:val="none"/>
        </w:rPr>
        <w:t>坚持质效为先。</w:t>
      </w:r>
      <w:r>
        <w:rPr>
          <w:rFonts w:hint="default" w:ascii="Times New Roman" w:hAnsi="Times New Roman" w:eastAsia="仿宋_GB2312" w:cs="Times New Roman"/>
          <w:bCs/>
          <w:sz w:val="32"/>
          <w:szCs w:val="32"/>
          <w:u w:val="none"/>
        </w:rPr>
        <w:t>合理调整目标任务，优化招商考核办法，突出“质”的考评，加大签约开工率、开工纳统率的考核权重，力争分别达到65%和70%以上。双向考核有效线索转化情况，</w:t>
      </w:r>
      <w:r>
        <w:rPr>
          <w:rFonts w:hint="default" w:ascii="Times New Roman" w:hAnsi="Times New Roman" w:eastAsia="仿宋_GB2312" w:cs="Times New Roman"/>
          <w:sz w:val="32"/>
          <w:szCs w:val="32"/>
          <w:u w:val="none"/>
        </w:rPr>
        <w:t>建立招商项目履约约束机制，</w:t>
      </w:r>
      <w:r>
        <w:rPr>
          <w:rFonts w:hint="default" w:ascii="Times New Roman" w:hAnsi="Times New Roman" w:eastAsia="仿宋_GB2312" w:cs="Times New Roman"/>
          <w:bCs/>
          <w:sz w:val="32"/>
          <w:szCs w:val="32"/>
          <w:u w:val="none"/>
        </w:rPr>
        <w:t>引导有的放矢捕捉高质量项目，避免包装项目、“以次充好”。</w:t>
      </w:r>
    </w:p>
    <w:p w14:paraId="03366A40">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坚持全员招商。</w:t>
      </w:r>
      <w:r>
        <w:rPr>
          <w:rFonts w:hint="default" w:ascii="Times New Roman" w:hAnsi="Times New Roman" w:eastAsia="仿宋_GB2312" w:cs="Times New Roman"/>
          <w:bCs/>
          <w:sz w:val="32"/>
          <w:szCs w:val="32"/>
          <w:u w:val="none"/>
        </w:rPr>
        <w:t>强化“招商人人有责”意识，营造大招商浓厚氛围。切实把招商引资作为“一把手”工程，各级主要负责同志带头访商邀商，</w:t>
      </w:r>
      <w:r>
        <w:rPr>
          <w:rFonts w:hint="default" w:ascii="Times New Roman" w:hAnsi="Times New Roman" w:eastAsia="仿宋_GB2312" w:cs="Times New Roman"/>
          <w:sz w:val="32"/>
          <w:szCs w:val="32"/>
          <w:u w:val="none"/>
        </w:rPr>
        <w:t>重大项目全程参与、全程跟踪、一抓到底。积极发动全体干部职工捕捉收集招商信息。树牢“管行业必须管招商”理念，发挥部门优势、对接行业资源。</w:t>
      </w:r>
    </w:p>
    <w:p w14:paraId="290E443E">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b/>
          <w:sz w:val="32"/>
          <w:szCs w:val="32"/>
          <w:u w:val="none"/>
        </w:rPr>
        <w:t>（二）深化产业招商</w:t>
      </w:r>
    </w:p>
    <w:p w14:paraId="17E39E6B">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聚焦新能源产业。</w:t>
      </w:r>
      <w:r>
        <w:rPr>
          <w:rFonts w:hint="default" w:ascii="Times New Roman" w:hAnsi="Times New Roman" w:eastAsia="仿宋_GB2312" w:cs="Times New Roman"/>
          <w:sz w:val="32"/>
          <w:szCs w:val="32"/>
          <w:u w:val="none"/>
        </w:rPr>
        <w:t>抢抓全省打造汽车“首位产业”和主导产业重要机遇，找准淮北</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比较优势，加大力度招引先进光伏、锂电池、新型储能及汽车零部件、汽车后市场、特种车辆等项目，推动以先进光储和锂电池为核心的新能源产业加快起势成势。</w:t>
      </w:r>
    </w:p>
    <w:p w14:paraId="334F88E0">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32"/>
          <w:szCs w:val="32"/>
          <w:u w:val="none"/>
        </w:rPr>
        <w:t>聚焦新材料产业。</w:t>
      </w:r>
      <w:r>
        <w:rPr>
          <w:rFonts w:hint="default" w:ascii="Times New Roman" w:hAnsi="Times New Roman" w:eastAsia="仿宋_GB2312" w:cs="Times New Roman"/>
          <w:sz w:val="32"/>
          <w:szCs w:val="32"/>
          <w:u w:val="none"/>
        </w:rPr>
        <w:t>围绕特色铝箔、高端型材等细分领域招大引强，推动铝基金属产业链迈向高端。加快招引化工新材料、功能助剂、新能源材料等项目，适度引进符合产业结构调整指导</w:t>
      </w:r>
      <w:bookmarkStart w:id="0" w:name="_GoBack"/>
      <w:bookmarkEnd w:id="0"/>
      <w:r>
        <w:rPr>
          <w:rFonts w:hint="default" w:ascii="Times New Roman" w:hAnsi="Times New Roman" w:eastAsia="仿宋_GB2312" w:cs="Times New Roman"/>
          <w:sz w:val="32"/>
          <w:szCs w:val="32"/>
          <w:u w:val="none"/>
        </w:rPr>
        <w:t>目录的氯碱、硫磷、氟硅化工等项目，壮大先进高分子结构材料产业集群。</w:t>
      </w:r>
    </w:p>
    <w:p w14:paraId="36B6C39B">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聚焦高端绿色食品产业。</w:t>
      </w:r>
      <w:r>
        <w:rPr>
          <w:rFonts w:hint="default" w:ascii="Times New Roman" w:hAnsi="Times New Roman" w:eastAsia="仿宋_GB2312" w:cs="Times New Roman"/>
          <w:sz w:val="32"/>
          <w:szCs w:val="32"/>
          <w:u w:val="none"/>
        </w:rPr>
        <w:t>紧扣做好“三头三尾”增值大文章，积极招引农产品精深加工企业。依托相山经济开发区、百善现代农业示范区、口子产业园，加大力度招引肉制品加工、预制菜等项目，全力引进烘焙类、软饮料类、休闲食品类知名品牌，提升绿色食品产业能级。</w:t>
      </w:r>
    </w:p>
    <w:p w14:paraId="1AE2ECD1">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聚焦打造良好产业生态。</w:t>
      </w:r>
      <w:r>
        <w:rPr>
          <w:rFonts w:hint="default" w:ascii="Times New Roman" w:hAnsi="Times New Roman" w:eastAsia="仿宋_GB2312" w:cs="Times New Roman"/>
          <w:sz w:val="32"/>
          <w:szCs w:val="32"/>
          <w:u w:val="none"/>
        </w:rPr>
        <w:t>以促进“数实融合”为导向，招引服务实体类数字经济项目；积极引进新型商贸服务业、供应链服务及货运物流等现代服务业，健全产业配套。充分利用全市特色文旅资源，加强与大型专业文旅集团合作，落地文旅项目、做大文旅产业。</w:t>
      </w:r>
    </w:p>
    <w:p w14:paraId="4520CDA6">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b/>
          <w:sz w:val="32"/>
          <w:szCs w:val="32"/>
          <w:u w:val="none"/>
        </w:rPr>
        <w:t>（三）提升专业水平</w:t>
      </w:r>
    </w:p>
    <w:p w14:paraId="08894A30">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强化信息研判推进。</w:t>
      </w:r>
      <w:r>
        <w:rPr>
          <w:rFonts w:hint="default" w:ascii="Times New Roman" w:hAnsi="Times New Roman" w:eastAsia="仿宋_GB2312" w:cs="Times New Roman"/>
          <w:sz w:val="32"/>
          <w:szCs w:val="32"/>
          <w:u w:val="none"/>
        </w:rPr>
        <w:t>成立市级</w:t>
      </w:r>
      <w:r>
        <w:rPr>
          <w:rFonts w:hint="default" w:ascii="Times New Roman" w:hAnsi="Times New Roman" w:eastAsia="仿宋_GB2312" w:cs="Times New Roman"/>
          <w:sz w:val="32"/>
          <w:szCs w:val="32"/>
          <w:u w:val="none"/>
          <w:lang w:eastAsia="zh-CN"/>
        </w:rPr>
        <w:t>招商引资项目</w:t>
      </w:r>
      <w:r>
        <w:rPr>
          <w:rFonts w:hint="default" w:ascii="Times New Roman" w:hAnsi="Times New Roman" w:eastAsia="仿宋_GB2312" w:cs="Times New Roman"/>
          <w:sz w:val="32"/>
          <w:szCs w:val="32"/>
          <w:u w:val="none"/>
        </w:rPr>
        <w:t>研判专班，建立会商机制，及时研判产业招商团、驻外联络处、驻外分中心捕捉信息和各县区、开发园区重大信息。项目信息由市投资促进中心“一口径”收集，市级专班“一条龙”研判，相关部门和承载单位“一体化”推动。产业招商团牵头部门、驻外招商主体要及时</w:t>
      </w:r>
      <w:r>
        <w:rPr>
          <w:rFonts w:hint="default" w:ascii="Times New Roman" w:hAnsi="Times New Roman" w:eastAsia="仿宋_GB2312" w:cs="Times New Roman"/>
          <w:sz w:val="32"/>
          <w:szCs w:val="32"/>
          <w:u w:val="none"/>
          <w:lang w:eastAsia="zh-CN"/>
        </w:rPr>
        <w:t>规范</w:t>
      </w:r>
      <w:r>
        <w:rPr>
          <w:rFonts w:hint="default" w:ascii="Times New Roman" w:hAnsi="Times New Roman" w:eastAsia="仿宋_GB2312" w:cs="Times New Roman"/>
          <w:sz w:val="32"/>
          <w:szCs w:val="32"/>
          <w:u w:val="none"/>
        </w:rPr>
        <w:t>填报信息，经专班研判后推送至载体单位。各载体单位要</w:t>
      </w:r>
      <w:r>
        <w:rPr>
          <w:rFonts w:hint="default" w:ascii="Times New Roman" w:hAnsi="Times New Roman" w:eastAsia="仿宋_GB2312" w:cs="Times New Roman"/>
          <w:sz w:val="32"/>
          <w:szCs w:val="32"/>
          <w:u w:val="none"/>
          <w:lang w:eastAsia="zh-CN"/>
        </w:rPr>
        <w:t>快速组织</w:t>
      </w:r>
      <w:r>
        <w:rPr>
          <w:rFonts w:hint="default" w:ascii="Times New Roman" w:hAnsi="Times New Roman" w:eastAsia="仿宋_GB2312" w:cs="Times New Roman"/>
          <w:sz w:val="32"/>
          <w:szCs w:val="32"/>
          <w:u w:val="none"/>
        </w:rPr>
        <w:t>考察互动，确定有效线索并推动签约落地。</w:t>
      </w:r>
    </w:p>
    <w:p w14:paraId="78F944A5">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建优专职招商队伍。</w:t>
      </w:r>
      <w:r>
        <w:rPr>
          <w:rFonts w:hint="default" w:ascii="Times New Roman" w:hAnsi="Times New Roman" w:eastAsia="仿宋_GB2312" w:cs="Times New Roman"/>
          <w:sz w:val="32"/>
          <w:szCs w:val="32"/>
          <w:u w:val="none"/>
        </w:rPr>
        <w:t>调整驻外分中心驻点区域和组成人员，加密在长三角区域布点，优化在珠三角区域布局，由市政府驻深圳联络处统筹珠三角招商工作，并负责驻</w:t>
      </w:r>
      <w:r>
        <w:rPr>
          <w:rFonts w:hint="default" w:ascii="Times New Roman" w:hAnsi="Times New Roman" w:eastAsia="仿宋_GB2312" w:cs="Times New Roman"/>
          <w:sz w:val="32"/>
          <w:szCs w:val="32"/>
          <w:u w:val="none"/>
          <w:lang w:eastAsia="zh-CN"/>
        </w:rPr>
        <w:t>广州</w:t>
      </w:r>
      <w:r>
        <w:rPr>
          <w:rFonts w:hint="default" w:ascii="Times New Roman" w:hAnsi="Times New Roman" w:eastAsia="仿宋_GB2312" w:cs="Times New Roman"/>
          <w:sz w:val="32"/>
          <w:szCs w:val="32"/>
          <w:u w:val="none"/>
        </w:rPr>
        <w:t>分中心各项工作。采取“骨干+”模式配优人员，每年选派年轻同志充实至</w:t>
      </w:r>
      <w:r>
        <w:rPr>
          <w:rFonts w:hint="default" w:ascii="Times New Roman" w:hAnsi="Times New Roman" w:eastAsia="仿宋_GB2312" w:cs="Times New Roman"/>
          <w:sz w:val="32"/>
          <w:szCs w:val="32"/>
          <w:u w:val="none"/>
          <w:lang w:eastAsia="zh-CN"/>
        </w:rPr>
        <w:t>驻外</w:t>
      </w:r>
      <w:r>
        <w:rPr>
          <w:rFonts w:hint="default" w:ascii="Times New Roman" w:hAnsi="Times New Roman" w:eastAsia="仿宋_GB2312" w:cs="Times New Roman"/>
          <w:sz w:val="32"/>
          <w:szCs w:val="32"/>
          <w:u w:val="none"/>
        </w:rPr>
        <w:t>分中心，在“实战”中滚动培养招商人员，通过3-5年，培育一批懂招商、会招商的精干力量。各县区、开发园区结合产业特色，选定区域加强驻点，同时加快打造专家型研判专班、高水平谈判专班和高效率推进专班。</w:t>
      </w:r>
    </w:p>
    <w:p w14:paraId="230D6042">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32"/>
          <w:szCs w:val="32"/>
          <w:u w:val="none"/>
        </w:rPr>
        <w:t>加强重点产业研究。</w:t>
      </w:r>
      <w:r>
        <w:rPr>
          <w:rFonts w:hint="default" w:ascii="Times New Roman" w:hAnsi="Times New Roman" w:eastAsia="仿宋_GB2312" w:cs="Times New Roman"/>
          <w:bCs/>
          <w:sz w:val="32"/>
          <w:szCs w:val="32"/>
          <w:u w:val="none"/>
        </w:rPr>
        <w:t>充分发挥12个产业招商团作用，分别牵头围绕对应产业，全面摸底发展现状、摸排短板不足、摸准趋势走向，梳理筛选上下游龙头企业、骨干企业和关键环节企业，精准绘制产业链图谱，编制产业发展报告，加强对全市产业招商的指导和推动，加快引进一批延链补链强链项目。</w:t>
      </w:r>
    </w:p>
    <w:p w14:paraId="5707E133">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楷体_GB2312" w:cs="Times New Roman"/>
          <w:bCs/>
          <w:sz w:val="32"/>
          <w:szCs w:val="32"/>
          <w:u w:val="none"/>
        </w:rPr>
      </w:pPr>
      <w:r>
        <w:rPr>
          <w:rFonts w:hint="default" w:ascii="Times New Roman" w:hAnsi="Times New Roman" w:eastAsia="楷体_GB2312" w:cs="Times New Roman"/>
          <w:b/>
          <w:sz w:val="32"/>
          <w:szCs w:val="32"/>
          <w:u w:val="none"/>
        </w:rPr>
        <w:t>（四）拓宽招商渠道</w:t>
      </w:r>
    </w:p>
    <w:p w14:paraId="45621779">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深化“以商招商”。</w:t>
      </w:r>
      <w:r>
        <w:rPr>
          <w:rFonts w:hint="default" w:ascii="Times New Roman" w:hAnsi="Times New Roman" w:eastAsia="仿宋_GB2312" w:cs="Times New Roman"/>
          <w:bCs/>
          <w:sz w:val="32"/>
          <w:szCs w:val="32"/>
          <w:u w:val="none"/>
        </w:rPr>
        <w:t>推行“链主”招商模式，服务推动本地龙头企业，依托产业链、供应链引进上下游关联配套企业。进一步发挥首批12名招商顾问作用，借助人脉资源，定期举办专题招商活动。提质扩面招商顾问团队，把作用发挥好、人脉资源多的企业家、社会热心人士聘为招商顾问。</w:t>
      </w:r>
    </w:p>
    <w:p w14:paraId="3743B518">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深化商协会招商。</w:t>
      </w:r>
      <w:r>
        <w:rPr>
          <w:rFonts w:hint="default" w:ascii="Times New Roman" w:hAnsi="Times New Roman" w:eastAsia="仿宋_GB2312" w:cs="Times New Roman"/>
          <w:sz w:val="32"/>
          <w:szCs w:val="32"/>
          <w:u w:val="none"/>
        </w:rPr>
        <w:t>加密对接中国有色金属协会、上海安徽商会等知名商协会，积极参加商协会</w:t>
      </w:r>
      <w:r>
        <w:rPr>
          <w:rFonts w:hint="default" w:ascii="Times New Roman" w:hAnsi="Times New Roman" w:eastAsia="仿宋_GB2312" w:cs="Times New Roman"/>
          <w:sz w:val="32"/>
          <w:szCs w:val="32"/>
          <w:u w:val="none"/>
          <w:lang w:eastAsia="zh-CN"/>
        </w:rPr>
        <w:t>重要</w:t>
      </w:r>
      <w:r>
        <w:rPr>
          <w:rFonts w:hint="default" w:ascii="Times New Roman" w:hAnsi="Times New Roman" w:eastAsia="仿宋_GB2312" w:cs="Times New Roman"/>
          <w:sz w:val="32"/>
          <w:szCs w:val="32"/>
          <w:u w:val="none"/>
        </w:rPr>
        <w:t>活动，拓宽招商“朋友圈”。邀请更多企业家走进淮北，持续“提亮”投资淮北行系列活动。加强与异地安徽商会、淮北商会对接，谋划开展“徽商回归”活动，充分激发外地“家乡人”情怀，引荐优质项目落地。</w:t>
      </w:r>
    </w:p>
    <w:p w14:paraId="1DEC872E">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sz w:val="32"/>
          <w:szCs w:val="32"/>
          <w:u w:val="none"/>
        </w:rPr>
        <w:t>深化基金招商。</w:t>
      </w:r>
      <w:r>
        <w:rPr>
          <w:rFonts w:hint="default" w:ascii="Times New Roman" w:hAnsi="Times New Roman" w:eastAsia="仿宋_GB2312" w:cs="Times New Roman"/>
          <w:bCs/>
          <w:sz w:val="32"/>
          <w:szCs w:val="32"/>
          <w:u w:val="none"/>
        </w:rPr>
        <w:t>充分发挥国资平台作用，盘活存量资产，把资产变资金，用资金导产业。</w:t>
      </w:r>
      <w:r>
        <w:rPr>
          <w:rFonts w:hint="default" w:ascii="Times New Roman" w:hAnsi="Times New Roman" w:eastAsia="仿宋_GB2312" w:cs="Times New Roman"/>
          <w:sz w:val="32"/>
          <w:szCs w:val="32"/>
          <w:u w:val="none"/>
        </w:rPr>
        <w:t>利用政府性基金撬动市场化基金，积极对接省级母基金，组建子基金撬动更多社会资本，打造“基金丛林”。</w:t>
      </w:r>
      <w:r>
        <w:rPr>
          <w:rFonts w:hint="default" w:ascii="Times New Roman" w:hAnsi="Times New Roman" w:eastAsia="仿宋_GB2312" w:cs="Times New Roman"/>
          <w:bCs/>
          <w:sz w:val="32"/>
          <w:szCs w:val="32"/>
          <w:u w:val="none"/>
        </w:rPr>
        <w:t>借力金融机构投贷联动优势，服务招大引强，提升“以投带引”成效，</w:t>
      </w:r>
      <w:r>
        <w:rPr>
          <w:rFonts w:hint="default" w:ascii="Times New Roman" w:hAnsi="Times New Roman" w:eastAsia="仿宋_GB2312" w:cs="Times New Roman"/>
          <w:sz w:val="32"/>
          <w:szCs w:val="32"/>
          <w:u w:val="none"/>
        </w:rPr>
        <w:t>以资本流动的最大化带动产业流入的更优化。</w:t>
      </w:r>
    </w:p>
    <w:p w14:paraId="2549CE81">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楷体_GB2312" w:cs="Times New Roman"/>
          <w:bCs/>
          <w:sz w:val="32"/>
          <w:szCs w:val="32"/>
          <w:u w:val="none"/>
        </w:rPr>
      </w:pPr>
      <w:r>
        <w:rPr>
          <w:rFonts w:hint="default" w:ascii="Times New Roman" w:hAnsi="Times New Roman" w:eastAsia="楷体_GB2312" w:cs="Times New Roman"/>
          <w:b/>
          <w:sz w:val="32"/>
          <w:szCs w:val="32"/>
          <w:u w:val="none"/>
        </w:rPr>
        <w:t>（五）强化协同联动</w:t>
      </w:r>
    </w:p>
    <w:p w14:paraId="39834915">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健全提级工作机制。</w:t>
      </w:r>
      <w:r>
        <w:rPr>
          <w:rFonts w:hint="default" w:ascii="Times New Roman" w:hAnsi="Times New Roman" w:eastAsia="仿宋_GB2312" w:cs="Times New Roman"/>
          <w:sz w:val="32"/>
          <w:szCs w:val="32"/>
          <w:u w:val="none"/>
        </w:rPr>
        <w:t>提级跟进重点招商信息，确保研判推送的每条信息均由1名县处级以上领导干部联系跟进，投资10亿元以上、需市级保障要素的重大项目，由市投资促进中心统筹提请市级领导高位推动。提级举办重要招商活动，高质量办好投资“安徽行”系列活动、专题招商推介会等活动。</w:t>
      </w:r>
    </w:p>
    <w:p w14:paraId="067FED0A">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32"/>
          <w:szCs w:val="32"/>
          <w:u w:val="none"/>
        </w:rPr>
        <w:t>完善“三灯”预警机制。</w:t>
      </w:r>
      <w:r>
        <w:rPr>
          <w:rFonts w:hint="default" w:ascii="Times New Roman" w:hAnsi="Times New Roman" w:eastAsia="仿宋_GB2312" w:cs="Times New Roman"/>
          <w:bCs/>
          <w:sz w:val="32"/>
          <w:szCs w:val="32"/>
          <w:u w:val="none"/>
        </w:rPr>
        <w:t>加强投促、发改、经信、统计等部门间联动，形成投促部门统筹项目“录入平台”、发改部门及时“亮灯预警”、经信部门督促加快推进、统计部门指导纳统入库的压茬式管理格局，确保亿元以上项目早开工、早纳统、早竣工、早见效。</w:t>
      </w:r>
      <w:r>
        <w:rPr>
          <w:rFonts w:hint="default" w:ascii="Times New Roman" w:hAnsi="Times New Roman" w:eastAsia="仿宋_GB2312" w:cs="Times New Roman"/>
          <w:sz w:val="32"/>
          <w:szCs w:val="32"/>
          <w:u w:val="none"/>
        </w:rPr>
        <w:t>各县区、开发园区及时将已签约亿元以上项目录入“红黄绿”闭环管理平台，做到“应录尽录”。</w:t>
      </w:r>
    </w:p>
    <w:p w14:paraId="7D1FE246">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sz w:val="32"/>
          <w:szCs w:val="32"/>
          <w:u w:val="none"/>
        </w:rPr>
        <w:t>推行专班工作机制。</w:t>
      </w:r>
      <w:r>
        <w:rPr>
          <w:rFonts w:hint="default" w:ascii="Times New Roman" w:hAnsi="Times New Roman" w:eastAsia="仿宋_GB2312" w:cs="Times New Roman"/>
          <w:sz w:val="32"/>
          <w:szCs w:val="32"/>
          <w:u w:val="none"/>
        </w:rPr>
        <w:t>重点在谈项目采取“一项目一专班”，实行“一对一”包保，集合力量</w:t>
      </w:r>
      <w:r>
        <w:rPr>
          <w:rFonts w:hint="default" w:ascii="Times New Roman" w:hAnsi="Times New Roman" w:eastAsia="仿宋_GB2312" w:cs="Times New Roman"/>
          <w:bCs/>
          <w:sz w:val="32"/>
          <w:szCs w:val="32"/>
          <w:u w:val="none"/>
        </w:rPr>
        <w:t>提高服务效能</w:t>
      </w:r>
      <w:r>
        <w:rPr>
          <w:rFonts w:hint="default" w:ascii="Times New Roman" w:hAnsi="Times New Roman" w:eastAsia="仿宋_GB2312" w:cs="Times New Roman"/>
          <w:sz w:val="32"/>
          <w:szCs w:val="32"/>
          <w:u w:val="none"/>
        </w:rPr>
        <w:t>、加快项目推进。</w:t>
      </w:r>
      <w:r>
        <w:rPr>
          <w:rFonts w:hint="default" w:ascii="Times New Roman" w:hAnsi="Times New Roman" w:eastAsia="仿宋_GB2312" w:cs="Times New Roman"/>
          <w:bCs/>
          <w:sz w:val="32"/>
          <w:szCs w:val="32"/>
          <w:u w:val="none"/>
        </w:rPr>
        <w:t>重大项目</w:t>
      </w:r>
      <w:r>
        <w:rPr>
          <w:rFonts w:hint="default" w:ascii="Times New Roman" w:hAnsi="Times New Roman" w:eastAsia="仿宋_GB2312" w:cs="Times New Roman"/>
          <w:sz w:val="32"/>
          <w:szCs w:val="32"/>
          <w:u w:val="none"/>
        </w:rPr>
        <w:t>从市级层面随时、灵活组建“多部门推进专班”，从对接洽谈到签约开工、建成投产，再到纳统入规，提供全流程高效率服务。</w:t>
      </w:r>
    </w:p>
    <w:p w14:paraId="29AD32C7">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四、有关要求</w:t>
      </w:r>
    </w:p>
    <w:p w14:paraId="324A1C51">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楷体_GB2312" w:cs="Times New Roman"/>
          <w:b/>
          <w:sz w:val="32"/>
          <w:szCs w:val="32"/>
          <w:u w:val="none"/>
        </w:rPr>
      </w:pPr>
      <w:r>
        <w:rPr>
          <w:rFonts w:hint="default" w:ascii="Times New Roman" w:hAnsi="Times New Roman" w:eastAsia="楷体_GB2312" w:cs="Times New Roman"/>
          <w:b/>
          <w:sz w:val="32"/>
          <w:szCs w:val="32"/>
          <w:u w:val="none"/>
        </w:rPr>
        <w:t>一是加强调度推动。</w:t>
      </w:r>
      <w:r>
        <w:rPr>
          <w:rFonts w:hint="default" w:ascii="Times New Roman" w:hAnsi="Times New Roman" w:eastAsia="仿宋_GB2312" w:cs="Times New Roman"/>
          <w:sz w:val="32"/>
          <w:szCs w:val="32"/>
          <w:u w:val="none"/>
        </w:rPr>
        <w:t>实行“月调度、季赛马、年总评”，建立重大招商项目调度机制，分级分层调度3亿元以上项目，强化高位推动。市招商引资工作领导小组办公室定期开展实地督察调度，切实把压力传递到位。</w:t>
      </w:r>
    </w:p>
    <w:p w14:paraId="576FB8EB">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二是严格考核问效。</w:t>
      </w:r>
      <w:r>
        <w:rPr>
          <w:rFonts w:hint="default" w:ascii="Times New Roman" w:hAnsi="Times New Roman" w:eastAsia="仿宋_GB2312" w:cs="Times New Roman"/>
          <w:sz w:val="32"/>
          <w:szCs w:val="32"/>
          <w:u w:val="none"/>
        </w:rPr>
        <w:t>坚持以“招商实绩论英雄”，对招商引资工作成效明显，或在项目推进中作出突出贡献的单位和个人予以激励，发挥考核“指挥棒”作用，引导形成全力招大引强、招新引优的良好态势。</w:t>
      </w:r>
    </w:p>
    <w:p w14:paraId="79513B71">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三是强化经费保障。</w:t>
      </w:r>
      <w:r>
        <w:rPr>
          <w:rFonts w:hint="default" w:ascii="Times New Roman" w:hAnsi="Times New Roman" w:eastAsia="仿宋_GB2312" w:cs="Times New Roman"/>
          <w:sz w:val="32"/>
          <w:szCs w:val="32"/>
          <w:u w:val="none"/>
        </w:rPr>
        <w:t>产业招商团、驻外分中心工作经费，按照《关于组建淮北市投资促进中心驻外分中心的通知》（淮招商组〔2023〕6号）、《关于组建淮北市产业招商团的通知》（淮招商组〔2023〕8号）中经费保障有关规定执行。工作经费根据实际情况拨付。</w:t>
      </w:r>
    </w:p>
    <w:p w14:paraId="3193476C">
      <w:pPr>
        <w:keepNext w:val="0"/>
        <w:keepLines w:val="0"/>
        <w:pageBreakBefore w:val="0"/>
        <w:widowControl w:val="0"/>
        <w:kinsoku/>
        <w:wordWrap/>
        <w:overflowPunct/>
        <w:topLinePunct w:val="0"/>
        <w:autoSpaceDE w:val="0"/>
        <w:autoSpaceDN w:val="0"/>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四是营造浓厚氛围。</w:t>
      </w:r>
      <w:r>
        <w:rPr>
          <w:rFonts w:hint="default" w:ascii="Times New Roman" w:hAnsi="Times New Roman" w:eastAsia="仿宋_GB2312" w:cs="Times New Roman"/>
          <w:sz w:val="32"/>
          <w:szCs w:val="32"/>
          <w:u w:val="none"/>
        </w:rPr>
        <w:t>运用主流媒体及微信</w:t>
      </w:r>
      <w:r>
        <w:rPr>
          <w:rFonts w:hint="default" w:ascii="Times New Roman" w:hAnsi="Times New Roman" w:eastAsia="仿宋_GB2312" w:cs="Times New Roman"/>
          <w:sz w:val="32"/>
          <w:szCs w:val="32"/>
          <w:u w:val="none"/>
          <w:lang w:eastAsia="zh-CN"/>
        </w:rPr>
        <w:t>公众</w:t>
      </w:r>
      <w:r>
        <w:rPr>
          <w:rFonts w:hint="default" w:ascii="Times New Roman" w:hAnsi="Times New Roman" w:eastAsia="仿宋_GB2312" w:cs="Times New Roman"/>
          <w:sz w:val="32"/>
          <w:szCs w:val="32"/>
          <w:u w:val="none"/>
        </w:rPr>
        <w:t>号等媒介，不断拓宽宣传淮北招商的深度</w:t>
      </w:r>
      <w:r>
        <w:rPr>
          <w:rFonts w:hint="default" w:ascii="Times New Roman" w:hAnsi="Times New Roman" w:eastAsia="仿宋_GB2312" w:cs="Times New Roman"/>
          <w:sz w:val="32"/>
          <w:szCs w:val="32"/>
          <w:u w:val="none"/>
          <w:lang w:eastAsia="zh-CN"/>
        </w:rPr>
        <w:t>和</w:t>
      </w:r>
      <w:r>
        <w:rPr>
          <w:rFonts w:hint="default" w:ascii="Times New Roman" w:hAnsi="Times New Roman" w:eastAsia="仿宋_GB2312" w:cs="Times New Roman"/>
          <w:sz w:val="32"/>
          <w:szCs w:val="32"/>
          <w:u w:val="none"/>
        </w:rPr>
        <w:t>广度。积极在进博会、世界制造业大会等重大平台和食博会、铝产业论坛、化工论坛等重要节会上，进行高水平推介。各县区、开发园区要认真谋划实施一批专题招商活动，力争月月有活动、持续掀热潮。</w:t>
      </w:r>
    </w:p>
    <w:p w14:paraId="779050D5">
      <w:pPr>
        <w:rPr>
          <w:rFonts w:hint="default" w:ascii="Times New Roman" w:hAnsi="Times New Roman" w:cs="Times New Roman"/>
        </w:rPr>
      </w:pPr>
    </w:p>
    <w:p w14:paraId="49E84349">
      <w:pPr>
        <w:pStyle w:val="2"/>
        <w:rPr>
          <w:rFonts w:hint="default" w:ascii="Times New Roman" w:hAnsi="Times New Roman" w:cs="Times New Roman"/>
        </w:rPr>
      </w:pPr>
    </w:p>
    <w:p w14:paraId="01B6596D">
      <w:pPr>
        <w:pStyle w:val="2"/>
        <w:rPr>
          <w:rFonts w:hint="default" w:ascii="Times New Roman" w:hAnsi="Times New Roman" w:cs="Times New Roman"/>
        </w:rPr>
      </w:pPr>
    </w:p>
    <w:p w14:paraId="629FCC43">
      <w:pPr>
        <w:pStyle w:val="2"/>
        <w:rPr>
          <w:rFonts w:hint="default" w:ascii="Times New Roman" w:hAnsi="Times New Roman" w:cs="Times New Roman"/>
        </w:rPr>
      </w:pPr>
    </w:p>
    <w:p w14:paraId="74AFF83F">
      <w:pPr>
        <w:rPr>
          <w:rFonts w:hint="default" w:ascii="Times New Roman" w:hAnsi="Times New Roman" w:cs="Times New Roman"/>
        </w:rPr>
      </w:pPr>
      <w:r>
        <w:rPr>
          <w:rFonts w:hint="default" w:ascii="Times New Roman" w:hAnsi="Times New Roman" w:cs="Times New Roman"/>
        </w:rPr>
        <w:br w:type="page"/>
      </w:r>
    </w:p>
    <w:p w14:paraId="5E9A8434">
      <w:pPr>
        <w:pStyle w:val="2"/>
        <w:rPr>
          <w:rFonts w:hint="default" w:ascii="Times New Roman" w:hAnsi="Times New Roman" w:cs="Times New Roman"/>
        </w:rPr>
      </w:pPr>
    </w:p>
    <w:p w14:paraId="3D0567C9">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预算表</w:t>
      </w:r>
    </w:p>
    <w:p w14:paraId="63BE07D5">
      <w:pPr>
        <w:pStyle w:val="6"/>
        <w:adjustRightInd w:val="0"/>
        <w:snapToGrid w:val="0"/>
        <w:spacing w:line="560" w:lineRule="exact"/>
        <w:ind w:firstLine="630" w:firstLineChars="196"/>
        <w:jc w:val="center"/>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见附件1-2</w:t>
      </w:r>
    </w:p>
    <w:p w14:paraId="397590CB">
      <w:pPr>
        <w:rPr>
          <w:rFonts w:hint="default" w:ascii="Times New Roman" w:hAnsi="Times New Roman" w:cs="Times New Roman"/>
        </w:rPr>
      </w:pPr>
      <w:r>
        <w:rPr>
          <w:rFonts w:hint="default" w:ascii="Times New Roman" w:hAnsi="Times New Roman" w:cs="Times New Roman"/>
        </w:rPr>
        <w:t xml:space="preserve">                                        </w:t>
      </w:r>
    </w:p>
    <w:p w14:paraId="61ED36FA">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2024年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预算情况说明</w:t>
      </w:r>
    </w:p>
    <w:p w14:paraId="2011FBBF">
      <w:pPr>
        <w:rPr>
          <w:rFonts w:hint="default" w:ascii="Times New Roman" w:hAnsi="Times New Roman" w:cs="Times New Roman"/>
        </w:rPr>
      </w:pPr>
    </w:p>
    <w:p w14:paraId="36CEF452">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14:paraId="7DEAC8D3">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w:t>
      </w:r>
      <w:r>
        <w:rPr>
          <w:rFonts w:hint="default" w:ascii="Times New Roman" w:hAnsi="Times New Roman" w:eastAsia="仿宋_GB2312" w:cs="Times New Roman"/>
          <w:color w:val="auto"/>
          <w:sz w:val="32"/>
          <w:szCs w:val="32"/>
        </w:rPr>
        <w:t>预算的原则，淮北市</w:t>
      </w:r>
      <w:r>
        <w:rPr>
          <w:rFonts w:hint="default" w:ascii="Times New Roman" w:hAnsi="Times New Roman" w:eastAsia="仿宋_GB2312" w:cs="Times New Roman"/>
          <w:color w:val="auto"/>
          <w:sz w:val="32"/>
          <w:szCs w:val="32"/>
          <w:lang w:eastAsia="zh-CN"/>
        </w:rPr>
        <w:t>投资促进中心</w:t>
      </w:r>
      <w:r>
        <w:rPr>
          <w:rFonts w:hint="default" w:ascii="Times New Roman" w:hAnsi="Times New Roman" w:eastAsia="仿宋_GB2312" w:cs="Times New Roman"/>
          <w:color w:val="auto"/>
          <w:sz w:val="32"/>
          <w:szCs w:val="32"/>
        </w:rPr>
        <w:t>所有收入和支出均纳入</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预算管理。淮北市</w:t>
      </w:r>
      <w:r>
        <w:rPr>
          <w:rFonts w:hint="default" w:ascii="Times New Roman" w:hAnsi="Times New Roman" w:eastAsia="仿宋_GB2312" w:cs="Times New Roman"/>
          <w:color w:val="auto"/>
          <w:sz w:val="32"/>
          <w:szCs w:val="32"/>
          <w:lang w:eastAsia="zh-CN"/>
        </w:rPr>
        <w:t>投资促进中心</w:t>
      </w:r>
      <w:r>
        <w:rPr>
          <w:rFonts w:hint="default" w:ascii="Times New Roman" w:hAnsi="Times New Roman" w:eastAsia="仿宋_GB2312" w:cs="Times New Roman"/>
          <w:color w:val="auto"/>
          <w:sz w:val="32"/>
          <w:szCs w:val="32"/>
        </w:rPr>
        <w:t>2024年收支总预算</w:t>
      </w:r>
      <w:r>
        <w:rPr>
          <w:rFonts w:hint="default" w:ascii="Times New Roman" w:hAnsi="Times New Roman" w:eastAsia="仿宋_GB2312" w:cs="Times New Roman"/>
          <w:color w:val="auto"/>
          <w:sz w:val="32"/>
          <w:szCs w:val="32"/>
          <w:lang w:val="en-US" w:eastAsia="zh-CN"/>
        </w:rPr>
        <w:t>678.04</w:t>
      </w:r>
      <w:r>
        <w:rPr>
          <w:rFonts w:hint="default" w:ascii="Times New Roman" w:hAnsi="Times New Roman" w:eastAsia="仿宋_GB2312" w:cs="Times New Roman"/>
          <w:color w:val="auto"/>
          <w:sz w:val="32"/>
          <w:szCs w:val="32"/>
        </w:rPr>
        <w:t>万元，收入全部是一般公共预算拨款收入</w:t>
      </w:r>
      <w:r>
        <w:rPr>
          <w:rFonts w:hint="default" w:ascii="Times New Roman" w:hAnsi="Times New Roman" w:eastAsia="仿宋_GB2312" w:cs="Times New Roman"/>
          <w:color w:val="auto"/>
          <w:sz w:val="32"/>
          <w:szCs w:val="32"/>
          <w:lang w:val="en-US" w:eastAsia="zh-CN"/>
        </w:rPr>
        <w:t>678.04</w:t>
      </w:r>
      <w:r>
        <w:rPr>
          <w:rFonts w:hint="default" w:ascii="Times New Roman" w:hAnsi="Times New Roman" w:eastAsia="仿宋_GB2312" w:cs="Times New Roman"/>
          <w:color w:val="auto"/>
          <w:sz w:val="32"/>
          <w:szCs w:val="32"/>
        </w:rPr>
        <w:t>万元，支出包括：一般公共服务支出、社会保障和就业支出、卫生健康支出、住</w:t>
      </w:r>
      <w:r>
        <w:rPr>
          <w:rFonts w:hint="default" w:ascii="Times New Roman" w:hAnsi="Times New Roman" w:eastAsia="仿宋_GB2312" w:cs="Times New Roman"/>
          <w:sz w:val="32"/>
          <w:szCs w:val="32"/>
        </w:rPr>
        <w:t>房保障支出。</w:t>
      </w:r>
    </w:p>
    <w:p w14:paraId="2F08E3C5">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14:paraId="474753E9">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2024年收入预算</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w:t>
      </w:r>
    </w:p>
    <w:p w14:paraId="640A6935">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678.04</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%，比2023年预算增加</w:t>
      </w:r>
      <w:r>
        <w:rPr>
          <w:rFonts w:hint="default" w:ascii="Times New Roman" w:hAnsi="Times New Roman" w:eastAsia="仿宋_GB2312" w:cs="Times New Roman"/>
          <w:kern w:val="0"/>
          <w:sz w:val="32"/>
          <w:szCs w:val="32"/>
          <w:lang w:val="en-US" w:eastAsia="zh-CN"/>
        </w:rPr>
        <w:t>85.96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14.52</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是人员增加和增加提租补贴预算</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%，比2023年预算增加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，原因主要是</w:t>
      </w:r>
      <w:r>
        <w:rPr>
          <w:rFonts w:hint="default" w:ascii="Times New Roman" w:hAnsi="Times New Roman" w:eastAsia="仿宋_GB2312" w:cs="Times New Roman"/>
          <w:kern w:val="0"/>
          <w:sz w:val="32"/>
          <w:szCs w:val="32"/>
          <w:lang w:val="en-US" w:eastAsia="zh-CN"/>
        </w:rPr>
        <w:t>2023年、</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均</w:t>
      </w:r>
      <w:r>
        <w:rPr>
          <w:rFonts w:hint="default" w:ascii="Times New Roman" w:hAnsi="Times New Roman" w:eastAsia="仿宋_GB2312" w:cs="Times New Roman"/>
          <w:sz w:val="32"/>
          <w:szCs w:val="32"/>
          <w:lang w:val="en-US" w:eastAsia="zh-CN"/>
        </w:rPr>
        <w:t>没有政府性基金预算拨款收入</w:t>
      </w:r>
      <w:r>
        <w:rPr>
          <w:rFonts w:hint="default" w:ascii="Times New Roman" w:hAnsi="Times New Roman" w:eastAsia="仿宋_GB2312" w:cs="Times New Roman"/>
          <w:kern w:val="0"/>
          <w:sz w:val="32"/>
          <w:szCs w:val="32"/>
        </w:rPr>
        <w:t>；财政专户管理资金收入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%，比2023年预算增加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，原因主要是</w:t>
      </w:r>
      <w:r>
        <w:rPr>
          <w:rFonts w:hint="default" w:ascii="Times New Roman" w:hAnsi="Times New Roman" w:eastAsia="仿宋_GB2312" w:cs="Times New Roman"/>
          <w:kern w:val="0"/>
          <w:sz w:val="32"/>
          <w:szCs w:val="32"/>
          <w:lang w:val="en-US" w:eastAsia="zh-CN"/>
        </w:rPr>
        <w:t>2023年、</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均</w:t>
      </w:r>
      <w:r>
        <w:rPr>
          <w:rFonts w:hint="default" w:ascii="Times New Roman" w:hAnsi="Times New Roman" w:eastAsia="仿宋_GB2312" w:cs="Times New Roman"/>
          <w:sz w:val="32"/>
          <w:szCs w:val="32"/>
          <w:lang w:val="en-US" w:eastAsia="zh-CN"/>
        </w:rPr>
        <w:t>没有</w:t>
      </w:r>
      <w:r>
        <w:rPr>
          <w:rFonts w:hint="default" w:ascii="Times New Roman" w:hAnsi="Times New Roman" w:eastAsia="仿宋_GB2312" w:cs="Times New Roman"/>
          <w:kern w:val="0"/>
          <w:sz w:val="32"/>
          <w:szCs w:val="32"/>
        </w:rPr>
        <w:t>财政专户管理资金收入。</w:t>
      </w:r>
    </w:p>
    <w:p w14:paraId="626D16DD">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14:paraId="5A40594C">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2024年支出预算</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85.96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14.52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人员增加和增加提租补贴预算</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542.04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79.94</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20.06</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rPr>
        <w:t>国（境）内外企业或代表团来淮考察投资活动的联络、协调和接待工作</w:t>
      </w:r>
      <w:r>
        <w:rPr>
          <w:rFonts w:hint="default" w:ascii="Times New Roman" w:hAnsi="Times New Roman" w:eastAsia="仿宋_GB2312" w:cs="Times New Roman"/>
          <w:sz w:val="32"/>
          <w:szCs w:val="32"/>
          <w:lang w:eastAsia="zh-CN"/>
        </w:rPr>
        <w:t>，筹备、组织全市及中心本级的</w:t>
      </w:r>
      <w:r>
        <w:rPr>
          <w:rFonts w:hint="default" w:ascii="Times New Roman" w:hAnsi="Times New Roman" w:eastAsia="仿宋_GB2312" w:cs="Times New Roman"/>
          <w:sz w:val="32"/>
          <w:szCs w:val="32"/>
        </w:rPr>
        <w:t>招商引资活动</w:t>
      </w:r>
      <w:r>
        <w:rPr>
          <w:rFonts w:hint="default" w:ascii="Times New Roman" w:hAnsi="Times New Roman" w:eastAsia="仿宋_GB2312" w:cs="Times New Roman"/>
          <w:sz w:val="32"/>
          <w:szCs w:val="32"/>
          <w:lang w:eastAsia="zh-CN"/>
        </w:rPr>
        <w:t>，全市招商引资、新签约、新开工、新竣工项目考核审计工作，印制宣传册、制作宣传视频，</w:t>
      </w:r>
      <w:r>
        <w:rPr>
          <w:rFonts w:hint="default" w:ascii="Times New Roman" w:hAnsi="Times New Roman" w:eastAsia="仿宋_GB2312" w:cs="Times New Roman"/>
          <w:sz w:val="32"/>
          <w:szCs w:val="32"/>
        </w:rPr>
        <w:t>招商引资信息平台运行维护及全市招商引资及经济协作信息网络建设和管理</w:t>
      </w:r>
      <w:r>
        <w:rPr>
          <w:rFonts w:hint="default" w:ascii="Times New Roman" w:hAnsi="Times New Roman" w:eastAsia="仿宋_GB2312" w:cs="Times New Roman"/>
          <w:sz w:val="32"/>
          <w:szCs w:val="32"/>
          <w:lang w:eastAsia="zh-CN"/>
        </w:rPr>
        <w:t>等。</w:t>
      </w:r>
    </w:p>
    <w:p w14:paraId="39BE4317">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14:paraId="2FAD59DC">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2024年财政拨款收支预算</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万元。支出按功能分类分为：一般公共服务支出</w:t>
      </w:r>
      <w:r>
        <w:rPr>
          <w:rFonts w:hint="default" w:ascii="Times New Roman" w:hAnsi="Times New Roman" w:eastAsia="仿宋_GB2312" w:cs="Times New Roman"/>
          <w:kern w:val="0"/>
          <w:sz w:val="32"/>
          <w:szCs w:val="32"/>
          <w:lang w:val="en-US" w:eastAsia="zh-CN"/>
        </w:rPr>
        <w:t>497.</w:t>
      </w:r>
      <w:r>
        <w:rPr>
          <w:rFonts w:hint="default" w:ascii="Times New Roman" w:hAnsi="Times New Roman" w:eastAsia="仿宋_GB2312" w:cs="Times New Roman"/>
          <w:kern w:val="0"/>
          <w:sz w:val="32"/>
          <w:szCs w:val="32"/>
          <w:lang w:val="en-US" w:eastAsia="zh-CN"/>
        </w:rPr>
        <w:t>80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73.42</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80.07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11.81</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22.89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3.38</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77.28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11.39</w:t>
      </w:r>
      <w:r>
        <w:rPr>
          <w:rFonts w:hint="default" w:ascii="Times New Roman" w:hAnsi="Times New Roman" w:eastAsia="仿宋_GB2312" w:cs="Times New Roman"/>
          <w:kern w:val="0"/>
          <w:sz w:val="32"/>
          <w:szCs w:val="32"/>
        </w:rPr>
        <w:t>%。</w:t>
      </w:r>
    </w:p>
    <w:p w14:paraId="72399EE3">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14:paraId="2FA12F2C">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0BB1B34B">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2024年一般公共预算支出</w:t>
      </w:r>
      <w:r>
        <w:rPr>
          <w:rFonts w:hint="default" w:ascii="Times New Roman" w:hAnsi="Times New Roman" w:eastAsia="仿宋_GB2312" w:cs="Times New Roman"/>
          <w:kern w:val="0"/>
          <w:sz w:val="32"/>
          <w:szCs w:val="32"/>
          <w:lang w:val="en-US" w:eastAsia="zh-CN"/>
        </w:rPr>
        <w:t>678.04</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85.96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14.52</w:t>
      </w:r>
      <w:r>
        <w:rPr>
          <w:rFonts w:hint="default" w:ascii="Times New Roman" w:hAnsi="Times New Roman" w:eastAsia="仿宋_GB2312" w:cs="Times New Roman"/>
          <w:kern w:val="0"/>
          <w:sz w:val="32"/>
          <w:szCs w:val="32"/>
        </w:rPr>
        <w:t>%，主要原因：一是</w:t>
      </w:r>
      <w:r>
        <w:rPr>
          <w:rFonts w:hint="default" w:ascii="Times New Roman" w:hAnsi="Times New Roman" w:eastAsia="仿宋_GB2312" w:cs="Times New Roman"/>
          <w:kern w:val="0"/>
          <w:sz w:val="32"/>
          <w:szCs w:val="32"/>
          <w:lang w:eastAsia="zh-CN"/>
        </w:rPr>
        <w:t>人员增加</w:t>
      </w:r>
      <w:r>
        <w:rPr>
          <w:rFonts w:hint="default" w:ascii="Times New Roman" w:hAnsi="Times New Roman" w:eastAsia="仿宋_GB2312" w:cs="Times New Roman"/>
          <w:kern w:val="0"/>
          <w:sz w:val="32"/>
          <w:szCs w:val="32"/>
        </w:rPr>
        <w:t>；二是</w:t>
      </w:r>
      <w:r>
        <w:rPr>
          <w:rFonts w:hint="default" w:ascii="Times New Roman" w:hAnsi="Times New Roman" w:eastAsia="仿宋_GB2312" w:cs="Times New Roman"/>
          <w:kern w:val="0"/>
          <w:sz w:val="32"/>
          <w:szCs w:val="32"/>
          <w:lang w:eastAsia="zh-CN"/>
        </w:rPr>
        <w:t>提租补贴纳入预算</w:t>
      </w:r>
      <w:r>
        <w:rPr>
          <w:rFonts w:hint="default" w:ascii="Times New Roman" w:hAnsi="Times New Roman" w:eastAsia="仿宋_GB2312" w:cs="Times New Roman"/>
          <w:kern w:val="0"/>
          <w:sz w:val="32"/>
          <w:szCs w:val="32"/>
        </w:rPr>
        <w:t>。</w:t>
      </w:r>
    </w:p>
    <w:p w14:paraId="7D342CF3">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56A17FC7">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default" w:ascii="Times New Roman" w:hAnsi="Times New Roman" w:eastAsia="仿宋_GB2312" w:cs="Times New Roman"/>
          <w:kern w:val="0"/>
          <w:sz w:val="32"/>
          <w:szCs w:val="32"/>
          <w:lang w:val="en-US" w:eastAsia="zh-CN"/>
        </w:rPr>
        <w:t>497.</w:t>
      </w:r>
      <w:r>
        <w:rPr>
          <w:rFonts w:hint="default" w:ascii="Times New Roman" w:hAnsi="Times New Roman" w:eastAsia="仿宋_GB2312" w:cs="Times New Roman"/>
          <w:kern w:val="0"/>
          <w:sz w:val="32"/>
          <w:szCs w:val="32"/>
          <w:lang w:val="en-US" w:eastAsia="zh-CN"/>
        </w:rPr>
        <w:t>80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73.42</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80.07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11.81</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22.89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3.38</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77.28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11.39</w:t>
      </w:r>
      <w:r>
        <w:rPr>
          <w:rFonts w:hint="default" w:ascii="Times New Roman" w:hAnsi="Times New Roman" w:eastAsia="仿宋_GB2312" w:cs="Times New Roman"/>
          <w:kern w:val="0"/>
          <w:sz w:val="32"/>
          <w:szCs w:val="32"/>
        </w:rPr>
        <w:t>%。</w:t>
      </w:r>
    </w:p>
    <w:p w14:paraId="20441EB6">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61E6AE50">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
          <w:sz w:val="32"/>
          <w:szCs w:val="32"/>
        </w:rPr>
        <w:t>一般公共服务支出（类）</w:t>
      </w:r>
      <w:r>
        <w:rPr>
          <w:rFonts w:hint="default" w:ascii="Times New Roman" w:hAnsi="Times New Roman" w:eastAsia="仿宋_GB2312" w:cs="Times New Roman"/>
          <w:b/>
          <w:sz w:val="32"/>
          <w:szCs w:val="32"/>
          <w:lang w:eastAsia="zh-CN"/>
        </w:rPr>
        <w:t>政府办公厅（室）及相关机构事务</w:t>
      </w:r>
      <w:r>
        <w:rPr>
          <w:rFonts w:hint="default" w:ascii="Times New Roman" w:hAnsi="Times New Roman" w:eastAsia="仿宋_GB2312" w:cs="Times New Roman"/>
          <w:b/>
          <w:sz w:val="32"/>
          <w:szCs w:val="32"/>
        </w:rPr>
        <w:t>（款）行政运行（项）</w:t>
      </w:r>
      <w:r>
        <w:rPr>
          <w:rFonts w:hint="default" w:ascii="Times New Roman" w:hAnsi="Times New Roman" w:eastAsia="仿宋_GB2312" w:cs="Times New Roman"/>
          <w:kern w:val="0"/>
          <w:sz w:val="32"/>
          <w:szCs w:val="32"/>
        </w:rPr>
        <w:t>2024年预算</w:t>
      </w:r>
      <w:r>
        <w:rPr>
          <w:rFonts w:hint="default" w:ascii="Times New Roman" w:hAnsi="Times New Roman" w:eastAsia="仿宋_GB2312" w:cs="Times New Roman"/>
          <w:kern w:val="0"/>
          <w:sz w:val="32"/>
          <w:szCs w:val="32"/>
          <w:lang w:val="en-US" w:eastAsia="zh-CN"/>
        </w:rPr>
        <w:t>497.80</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250.29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101.13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人员增加</w:t>
      </w:r>
      <w:r>
        <w:rPr>
          <w:rFonts w:hint="default" w:ascii="Times New Roman" w:hAnsi="Times New Roman" w:eastAsia="仿宋_GB2312" w:cs="Times New Roman"/>
          <w:kern w:val="0"/>
          <w:sz w:val="32"/>
          <w:szCs w:val="32"/>
        </w:rPr>
        <w:t>。</w:t>
      </w:r>
    </w:p>
    <w:p w14:paraId="40B8B68E">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
          <w:sz w:val="32"/>
          <w:szCs w:val="32"/>
        </w:rPr>
        <w:t>社会保障和就业支出（类）行政事业单位</w:t>
      </w:r>
      <w:r>
        <w:rPr>
          <w:rFonts w:hint="default" w:ascii="Times New Roman" w:hAnsi="Times New Roman" w:eastAsia="仿宋_GB2312" w:cs="Times New Roman"/>
          <w:b/>
          <w:sz w:val="32"/>
          <w:szCs w:val="32"/>
          <w:lang w:eastAsia="zh-CN"/>
        </w:rPr>
        <w:t>养老支出</w:t>
      </w:r>
      <w:r>
        <w:rPr>
          <w:rFonts w:hint="default" w:ascii="Times New Roman" w:hAnsi="Times New Roman" w:eastAsia="仿宋_GB2312" w:cs="Times New Roman"/>
          <w:b/>
          <w:sz w:val="32"/>
          <w:szCs w:val="32"/>
        </w:rPr>
        <w:t>（款）行政单位离退休（项）</w:t>
      </w:r>
      <w:r>
        <w:rPr>
          <w:rFonts w:hint="default" w:ascii="Times New Roman" w:hAnsi="Times New Roman" w:eastAsia="仿宋_GB2312" w:cs="Times New Roman"/>
          <w:kern w:val="0"/>
          <w:sz w:val="32"/>
          <w:szCs w:val="32"/>
        </w:rPr>
        <w:t>2024年预算</w:t>
      </w:r>
      <w:r>
        <w:rPr>
          <w:rFonts w:hint="default" w:ascii="Times New Roman" w:hAnsi="Times New Roman" w:eastAsia="仿宋_GB2312" w:cs="Times New Roman"/>
          <w:kern w:val="0"/>
          <w:sz w:val="32"/>
          <w:szCs w:val="32"/>
          <w:lang w:val="en-US" w:eastAsia="zh-CN"/>
        </w:rPr>
        <w:t>0.96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0.37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27.82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压减人员开支</w:t>
      </w:r>
      <w:r>
        <w:rPr>
          <w:rFonts w:hint="default" w:ascii="Times New Roman" w:hAnsi="Times New Roman" w:eastAsia="仿宋_GB2312" w:cs="Times New Roman"/>
          <w:kern w:val="0"/>
          <w:sz w:val="32"/>
          <w:szCs w:val="32"/>
        </w:rPr>
        <w:t>。</w:t>
      </w:r>
    </w:p>
    <w:p w14:paraId="741F4C0D">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
          <w:sz w:val="32"/>
          <w:szCs w:val="32"/>
          <w:highlight w:val="none"/>
        </w:rPr>
        <w:t>社会保障和就业支出（类）行政事业单位</w:t>
      </w:r>
      <w:r>
        <w:rPr>
          <w:rFonts w:hint="default" w:ascii="Times New Roman" w:hAnsi="Times New Roman" w:eastAsia="仿宋_GB2312" w:cs="Times New Roman"/>
          <w:b/>
          <w:sz w:val="32"/>
          <w:szCs w:val="32"/>
          <w:highlight w:val="none"/>
          <w:lang w:eastAsia="zh-CN"/>
        </w:rPr>
        <w:t>养老支出</w:t>
      </w:r>
      <w:r>
        <w:rPr>
          <w:rFonts w:hint="default" w:ascii="Times New Roman" w:hAnsi="Times New Roman" w:eastAsia="仿宋_GB2312" w:cs="Times New Roman"/>
          <w:b/>
          <w:sz w:val="32"/>
          <w:szCs w:val="32"/>
          <w:highlight w:val="none"/>
        </w:rPr>
        <w:t>（款）</w:t>
      </w:r>
      <w:r>
        <w:rPr>
          <w:rFonts w:hint="default" w:ascii="Times New Roman" w:hAnsi="Times New Roman" w:eastAsia="仿宋_GB2312" w:cs="Times New Roman"/>
          <w:b/>
          <w:sz w:val="32"/>
          <w:szCs w:val="32"/>
          <w:highlight w:val="none"/>
          <w:lang w:eastAsia="zh-CN"/>
        </w:rPr>
        <w:t>事业</w:t>
      </w:r>
      <w:r>
        <w:rPr>
          <w:rFonts w:hint="default" w:ascii="Times New Roman" w:hAnsi="Times New Roman" w:eastAsia="仿宋_GB2312" w:cs="Times New Roman"/>
          <w:b/>
          <w:sz w:val="32"/>
          <w:szCs w:val="32"/>
          <w:highlight w:val="none"/>
        </w:rPr>
        <w:t>单位离退休（项）</w:t>
      </w:r>
      <w:r>
        <w:rPr>
          <w:rFonts w:hint="default" w:ascii="Times New Roman" w:hAnsi="Times New Roman" w:eastAsia="仿宋_GB2312" w:cs="Times New Roman"/>
          <w:kern w:val="0"/>
          <w:sz w:val="32"/>
          <w:szCs w:val="32"/>
          <w:highlight w:val="none"/>
        </w:rPr>
        <w:t>2024年预算</w:t>
      </w:r>
      <w:r>
        <w:rPr>
          <w:rFonts w:hint="default" w:ascii="Times New Roman" w:hAnsi="Times New Roman" w:eastAsia="仿宋_GB2312" w:cs="Times New Roman"/>
          <w:kern w:val="0"/>
          <w:sz w:val="32"/>
          <w:szCs w:val="32"/>
          <w:highlight w:val="none"/>
          <w:lang w:val="en-US" w:eastAsia="zh-CN"/>
        </w:rPr>
        <w:t>0.72</w:t>
      </w:r>
      <w:r>
        <w:rPr>
          <w:rFonts w:hint="default" w:ascii="Times New Roman" w:hAnsi="Times New Roman" w:eastAsia="仿宋_GB2312" w:cs="Times New Roman"/>
          <w:kern w:val="0"/>
          <w:sz w:val="32"/>
          <w:szCs w:val="32"/>
          <w:highlight w:val="none"/>
        </w:rPr>
        <w:t>万元，比2023年预算增加</w:t>
      </w:r>
      <w:r>
        <w:rPr>
          <w:rFonts w:hint="default" w:ascii="Times New Roman" w:hAnsi="Times New Roman" w:eastAsia="仿宋_GB2312" w:cs="Times New Roman"/>
          <w:kern w:val="0"/>
          <w:sz w:val="32"/>
          <w:szCs w:val="32"/>
          <w:highlight w:val="none"/>
          <w:lang w:val="en-US" w:eastAsia="zh-CN"/>
        </w:rPr>
        <w:t>0.72</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%，原因主要是</w:t>
      </w:r>
      <w:r>
        <w:rPr>
          <w:rFonts w:hint="default" w:ascii="Times New Roman" w:hAnsi="Times New Roman" w:eastAsia="仿宋_GB2312" w:cs="Times New Roman"/>
          <w:kern w:val="0"/>
          <w:sz w:val="32"/>
          <w:szCs w:val="32"/>
          <w:highlight w:val="none"/>
          <w:lang w:eastAsia="zh-CN"/>
        </w:rPr>
        <w:t>增加事业单位退休人员预算</w:t>
      </w:r>
      <w:r>
        <w:rPr>
          <w:rFonts w:hint="default" w:ascii="Times New Roman" w:hAnsi="Times New Roman" w:eastAsia="仿宋_GB2312" w:cs="Times New Roman"/>
          <w:kern w:val="0"/>
          <w:sz w:val="32"/>
          <w:szCs w:val="32"/>
          <w:highlight w:val="none"/>
        </w:rPr>
        <w:t>。</w:t>
      </w:r>
    </w:p>
    <w:p w14:paraId="261529D0">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b/>
          <w:sz w:val="32"/>
          <w:szCs w:val="32"/>
          <w:highlight w:val="none"/>
        </w:rPr>
        <w:t>社会保障和就业支出（类）行政事业单位</w:t>
      </w:r>
      <w:r>
        <w:rPr>
          <w:rFonts w:hint="default" w:ascii="Times New Roman" w:hAnsi="Times New Roman" w:eastAsia="仿宋_GB2312" w:cs="Times New Roman"/>
          <w:b/>
          <w:sz w:val="32"/>
          <w:szCs w:val="32"/>
          <w:highlight w:val="none"/>
          <w:lang w:eastAsia="zh-CN"/>
        </w:rPr>
        <w:t>养老支出</w:t>
      </w:r>
      <w:r>
        <w:rPr>
          <w:rFonts w:hint="default" w:ascii="Times New Roman" w:hAnsi="Times New Roman" w:eastAsia="仿宋_GB2312" w:cs="Times New Roman"/>
          <w:b/>
          <w:sz w:val="32"/>
          <w:szCs w:val="32"/>
          <w:highlight w:val="none"/>
        </w:rPr>
        <w:t>（款）</w:t>
      </w:r>
      <w:r>
        <w:rPr>
          <w:rFonts w:hint="default" w:ascii="Times New Roman" w:hAnsi="Times New Roman" w:eastAsia="仿宋_GB2312" w:cs="Times New Roman"/>
          <w:b/>
          <w:sz w:val="32"/>
          <w:szCs w:val="32"/>
          <w:highlight w:val="none"/>
          <w:lang w:eastAsia="zh-CN"/>
        </w:rPr>
        <w:t>机关事业单位基本养老保险缴费支出</w:t>
      </w:r>
      <w:r>
        <w:rPr>
          <w:rFonts w:hint="default" w:ascii="Times New Roman" w:hAnsi="Times New Roman" w:eastAsia="仿宋_GB2312" w:cs="Times New Roman"/>
          <w:b/>
          <w:sz w:val="32"/>
          <w:szCs w:val="32"/>
          <w:highlight w:val="none"/>
        </w:rPr>
        <w:t>（项）</w:t>
      </w:r>
      <w:r>
        <w:rPr>
          <w:rFonts w:hint="default" w:ascii="Times New Roman" w:hAnsi="Times New Roman" w:eastAsia="仿宋_GB2312" w:cs="Times New Roman"/>
          <w:kern w:val="0"/>
          <w:sz w:val="32"/>
          <w:szCs w:val="32"/>
          <w:highlight w:val="none"/>
        </w:rPr>
        <w:t>2024年预算</w:t>
      </w:r>
      <w:r>
        <w:rPr>
          <w:rFonts w:hint="default" w:ascii="Times New Roman" w:hAnsi="Times New Roman" w:eastAsia="仿宋_GB2312" w:cs="Times New Roman"/>
          <w:kern w:val="0"/>
          <w:sz w:val="32"/>
          <w:szCs w:val="32"/>
          <w:highlight w:val="none"/>
          <w:lang w:val="en-US" w:eastAsia="zh-CN"/>
        </w:rPr>
        <w:t>45.24万元，</w:t>
      </w:r>
      <w:r>
        <w:rPr>
          <w:rFonts w:hint="default" w:ascii="Times New Roman" w:hAnsi="Times New Roman" w:eastAsia="仿宋_GB2312" w:cs="Times New Roman"/>
          <w:kern w:val="0"/>
          <w:sz w:val="32"/>
          <w:szCs w:val="32"/>
          <w:highlight w:val="none"/>
        </w:rPr>
        <w:t>比2023年预算增加</w:t>
      </w:r>
      <w:r>
        <w:rPr>
          <w:rFonts w:hint="default" w:ascii="Times New Roman" w:hAnsi="Times New Roman" w:eastAsia="仿宋_GB2312" w:cs="Times New Roman"/>
          <w:kern w:val="0"/>
          <w:sz w:val="32"/>
          <w:szCs w:val="32"/>
          <w:highlight w:val="none"/>
          <w:lang w:val="en-US" w:eastAsia="zh-CN"/>
        </w:rPr>
        <w:t>45.24</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%，原因主要是</w:t>
      </w:r>
      <w:r>
        <w:rPr>
          <w:rFonts w:hint="default" w:ascii="Times New Roman" w:hAnsi="Times New Roman" w:eastAsia="仿宋_GB2312" w:cs="Times New Roman"/>
          <w:kern w:val="0"/>
          <w:sz w:val="32"/>
          <w:szCs w:val="32"/>
          <w:highlight w:val="none"/>
          <w:lang w:eastAsia="zh-CN"/>
        </w:rPr>
        <w:t>在职人员养老保险缴费支出预算口径调整</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w:t>
      </w:r>
    </w:p>
    <w:p w14:paraId="1AE51385">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b/>
          <w:sz w:val="32"/>
          <w:szCs w:val="32"/>
          <w:highlight w:val="none"/>
        </w:rPr>
        <w:t>社会保障和就业支出（类）行政事业单位</w:t>
      </w:r>
      <w:r>
        <w:rPr>
          <w:rFonts w:hint="default" w:ascii="Times New Roman" w:hAnsi="Times New Roman" w:eastAsia="仿宋_GB2312" w:cs="Times New Roman"/>
          <w:b/>
          <w:sz w:val="32"/>
          <w:szCs w:val="32"/>
          <w:highlight w:val="none"/>
          <w:lang w:eastAsia="zh-CN"/>
        </w:rPr>
        <w:t>养老支出</w:t>
      </w:r>
      <w:r>
        <w:rPr>
          <w:rFonts w:hint="default" w:ascii="Times New Roman" w:hAnsi="Times New Roman" w:eastAsia="仿宋_GB2312" w:cs="Times New Roman"/>
          <w:b/>
          <w:sz w:val="32"/>
          <w:szCs w:val="32"/>
          <w:highlight w:val="none"/>
        </w:rPr>
        <w:t>（款）</w:t>
      </w:r>
      <w:r>
        <w:rPr>
          <w:rFonts w:hint="default" w:ascii="Times New Roman" w:hAnsi="Times New Roman" w:eastAsia="仿宋_GB2312" w:cs="Times New Roman"/>
          <w:b/>
          <w:sz w:val="32"/>
          <w:szCs w:val="32"/>
          <w:highlight w:val="none"/>
          <w:lang w:eastAsia="zh-CN"/>
        </w:rPr>
        <w:t>机关事业单位职业年金缴费支出</w:t>
      </w:r>
      <w:r>
        <w:rPr>
          <w:rFonts w:hint="default" w:ascii="Times New Roman" w:hAnsi="Times New Roman" w:eastAsia="仿宋_GB2312" w:cs="Times New Roman"/>
          <w:b/>
          <w:sz w:val="32"/>
          <w:szCs w:val="32"/>
          <w:highlight w:val="none"/>
        </w:rPr>
        <w:t>（项）</w:t>
      </w:r>
      <w:r>
        <w:rPr>
          <w:rFonts w:hint="default" w:ascii="Times New Roman" w:hAnsi="Times New Roman" w:eastAsia="仿宋_GB2312" w:cs="Times New Roman"/>
          <w:kern w:val="0"/>
          <w:sz w:val="32"/>
          <w:szCs w:val="32"/>
          <w:highlight w:val="none"/>
        </w:rPr>
        <w:t>2024年预算</w:t>
      </w:r>
      <w:r>
        <w:rPr>
          <w:rFonts w:hint="default" w:ascii="Times New Roman" w:hAnsi="Times New Roman" w:eastAsia="仿宋_GB2312" w:cs="Times New Roman"/>
          <w:kern w:val="0"/>
          <w:sz w:val="32"/>
          <w:szCs w:val="32"/>
          <w:highlight w:val="none"/>
          <w:lang w:val="en-US" w:eastAsia="zh-CN"/>
        </w:rPr>
        <w:t>22.62万元，</w:t>
      </w:r>
      <w:r>
        <w:rPr>
          <w:rFonts w:hint="default" w:ascii="Times New Roman" w:hAnsi="Times New Roman" w:eastAsia="仿宋_GB2312" w:cs="Times New Roman"/>
          <w:kern w:val="0"/>
          <w:sz w:val="32"/>
          <w:szCs w:val="32"/>
          <w:highlight w:val="none"/>
        </w:rPr>
        <w:t>比2023年预算增加</w:t>
      </w:r>
      <w:r>
        <w:rPr>
          <w:rFonts w:hint="default" w:ascii="Times New Roman" w:hAnsi="Times New Roman" w:eastAsia="仿宋_GB2312" w:cs="Times New Roman"/>
          <w:kern w:val="0"/>
          <w:sz w:val="32"/>
          <w:szCs w:val="32"/>
          <w:highlight w:val="none"/>
          <w:lang w:val="en-US" w:eastAsia="zh-CN"/>
        </w:rPr>
        <w:t>2.88</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14.59</w:t>
      </w:r>
      <w:r>
        <w:rPr>
          <w:rFonts w:hint="default" w:ascii="Times New Roman" w:hAnsi="Times New Roman" w:eastAsia="仿宋_GB2312" w:cs="Times New Roman"/>
          <w:kern w:val="0"/>
          <w:sz w:val="32"/>
          <w:szCs w:val="32"/>
          <w:highlight w:val="none"/>
        </w:rPr>
        <w:t>%，原因主要是</w:t>
      </w:r>
      <w:r>
        <w:rPr>
          <w:rFonts w:hint="default" w:ascii="Times New Roman" w:hAnsi="Times New Roman" w:eastAsia="仿宋_GB2312" w:cs="Times New Roman"/>
          <w:kern w:val="0"/>
          <w:sz w:val="32"/>
          <w:szCs w:val="32"/>
          <w:highlight w:val="none"/>
          <w:lang w:val="en-US" w:eastAsia="zh-CN"/>
        </w:rPr>
        <w:t>职业年金基数调整</w:t>
      </w:r>
      <w:r>
        <w:rPr>
          <w:rFonts w:hint="default" w:ascii="Times New Roman" w:hAnsi="Times New Roman" w:eastAsia="仿宋_GB2312" w:cs="Times New Roman"/>
          <w:kern w:val="0"/>
          <w:sz w:val="32"/>
          <w:szCs w:val="32"/>
          <w:highlight w:val="none"/>
        </w:rPr>
        <w:t>。</w:t>
      </w:r>
    </w:p>
    <w:p w14:paraId="3DCFD04D">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b/>
          <w:sz w:val="32"/>
          <w:szCs w:val="32"/>
        </w:rPr>
        <w:t>社会保障和就业支出（类）其他社会保障和就业支出（款）其他社会保障和就业支出（项）</w:t>
      </w:r>
      <w:r>
        <w:rPr>
          <w:rFonts w:hint="default" w:ascii="Times New Roman" w:hAnsi="Times New Roman" w:eastAsia="仿宋_GB2312" w:cs="Times New Roman"/>
          <w:kern w:val="0"/>
          <w:sz w:val="32"/>
          <w:szCs w:val="32"/>
          <w:highlight w:val="none"/>
        </w:rPr>
        <w:t>2024年预算</w:t>
      </w:r>
      <w:r>
        <w:rPr>
          <w:rFonts w:hint="default" w:ascii="Times New Roman" w:hAnsi="Times New Roman" w:eastAsia="仿宋_GB2312" w:cs="Times New Roman"/>
          <w:kern w:val="0"/>
          <w:sz w:val="32"/>
          <w:szCs w:val="32"/>
          <w:highlight w:val="none"/>
          <w:lang w:val="en-US" w:eastAsia="zh-CN"/>
        </w:rPr>
        <w:t>10.54万元，</w:t>
      </w:r>
      <w:r>
        <w:rPr>
          <w:rFonts w:hint="default" w:ascii="Times New Roman" w:hAnsi="Times New Roman" w:eastAsia="仿宋_GB2312" w:cs="Times New Roman"/>
          <w:kern w:val="0"/>
          <w:sz w:val="32"/>
          <w:szCs w:val="32"/>
          <w:highlight w:val="none"/>
        </w:rPr>
        <w:t>比2023年预算</w:t>
      </w:r>
      <w:r>
        <w:rPr>
          <w:rFonts w:hint="default" w:ascii="Times New Roman" w:hAnsi="Times New Roman" w:eastAsia="仿宋_GB2312" w:cs="Times New Roman"/>
          <w:kern w:val="0"/>
          <w:sz w:val="32"/>
          <w:szCs w:val="32"/>
          <w:highlight w:val="none"/>
          <w:lang w:eastAsia="zh-CN"/>
        </w:rPr>
        <w:t>减少</w:t>
      </w:r>
      <w:r>
        <w:rPr>
          <w:rFonts w:hint="default" w:ascii="Times New Roman" w:hAnsi="Times New Roman" w:eastAsia="仿宋_GB2312" w:cs="Times New Roman"/>
          <w:kern w:val="0"/>
          <w:sz w:val="32"/>
          <w:szCs w:val="32"/>
          <w:highlight w:val="none"/>
          <w:lang w:val="en-US" w:eastAsia="zh-CN"/>
        </w:rPr>
        <w:t>104.39</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下降</w:t>
      </w:r>
      <w:r>
        <w:rPr>
          <w:rFonts w:hint="default" w:ascii="Times New Roman" w:hAnsi="Times New Roman" w:eastAsia="仿宋_GB2312" w:cs="Times New Roman"/>
          <w:kern w:val="0"/>
          <w:sz w:val="32"/>
          <w:szCs w:val="32"/>
          <w:highlight w:val="none"/>
          <w:lang w:val="en-US" w:eastAsia="zh-CN"/>
        </w:rPr>
        <w:t>90.83</w:t>
      </w:r>
      <w:r>
        <w:rPr>
          <w:rFonts w:hint="default" w:ascii="Times New Roman" w:hAnsi="Times New Roman" w:eastAsia="仿宋_GB2312" w:cs="Times New Roman"/>
          <w:kern w:val="0"/>
          <w:sz w:val="32"/>
          <w:szCs w:val="32"/>
          <w:highlight w:val="none"/>
        </w:rPr>
        <w:t>%，原因主要是</w:t>
      </w:r>
      <w:r>
        <w:rPr>
          <w:rFonts w:hint="default" w:ascii="Times New Roman" w:hAnsi="Times New Roman" w:eastAsia="仿宋_GB2312" w:cs="Times New Roman"/>
          <w:sz w:val="32"/>
          <w:szCs w:val="32"/>
          <w:lang w:eastAsia="zh-CN"/>
        </w:rPr>
        <w:t>人员增加及人员社保基数调整</w:t>
      </w:r>
      <w:r>
        <w:rPr>
          <w:rFonts w:hint="default" w:ascii="Times New Roman" w:hAnsi="Times New Roman" w:eastAsia="仿宋_GB2312" w:cs="Times New Roman"/>
          <w:sz w:val="32"/>
          <w:szCs w:val="32"/>
        </w:rPr>
        <w:t>。</w:t>
      </w:r>
    </w:p>
    <w:p w14:paraId="122370A9">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b/>
          <w:sz w:val="32"/>
          <w:szCs w:val="32"/>
        </w:rPr>
        <w:t>卫生健康支出（类）行政事业单位医疗（款）行政单位医疗（项）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16.87</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15.08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人员社保基数调整</w:t>
      </w:r>
      <w:r>
        <w:rPr>
          <w:rFonts w:hint="default" w:ascii="Times New Roman" w:hAnsi="Times New Roman" w:eastAsia="仿宋_GB2312" w:cs="Times New Roman"/>
          <w:sz w:val="32"/>
          <w:szCs w:val="32"/>
        </w:rPr>
        <w:t>。</w:t>
      </w:r>
    </w:p>
    <w:p w14:paraId="6041BB8C">
      <w:pPr>
        <w:pStyle w:val="2"/>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b/>
          <w:sz w:val="32"/>
          <w:szCs w:val="32"/>
        </w:rPr>
        <w:t>卫生健康支出（类）行政事业单位医疗（款）</w:t>
      </w:r>
      <w:r>
        <w:rPr>
          <w:rFonts w:hint="default" w:ascii="Times New Roman" w:hAnsi="Times New Roman" w:eastAsia="仿宋_GB2312" w:cs="Times New Roman"/>
          <w:b/>
          <w:sz w:val="32"/>
          <w:szCs w:val="32"/>
          <w:lang w:eastAsia="zh-CN"/>
        </w:rPr>
        <w:t>公务员医疗补助</w:t>
      </w:r>
      <w:r>
        <w:rPr>
          <w:rFonts w:hint="default" w:ascii="Times New Roman" w:hAnsi="Times New Roman" w:eastAsia="仿宋_GB2312" w:cs="Times New Roman"/>
          <w:b/>
          <w:sz w:val="32"/>
          <w:szCs w:val="32"/>
        </w:rPr>
        <w:t>（项）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6.02</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2.56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人员增加及人员社保基数调整</w:t>
      </w:r>
      <w:r>
        <w:rPr>
          <w:rFonts w:hint="default" w:ascii="Times New Roman" w:hAnsi="Times New Roman" w:eastAsia="仿宋_GB2312" w:cs="Times New Roman"/>
          <w:sz w:val="32"/>
          <w:szCs w:val="32"/>
        </w:rPr>
        <w:t>。</w:t>
      </w:r>
    </w:p>
    <w:p w14:paraId="67D1364C">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b/>
          <w:kern w:val="0"/>
          <w:sz w:val="32"/>
          <w:szCs w:val="32"/>
          <w:lang w:val="en-US" w:eastAsia="zh-CN" w:bidi="ar-SA"/>
        </w:rPr>
        <w:t>住房保障支出（类）住房改革支出（款）住房公积金（项）</w:t>
      </w:r>
      <w:r>
        <w:rPr>
          <w:rFonts w:hint="default" w:ascii="Times New Roman" w:hAnsi="Times New Roman" w:eastAsia="仿宋_GB2312" w:cs="Times New Roman"/>
          <w:kern w:val="0"/>
          <w:sz w:val="32"/>
          <w:szCs w:val="32"/>
        </w:rPr>
        <w:t>2024年预算</w:t>
      </w:r>
      <w:r>
        <w:rPr>
          <w:rFonts w:hint="default" w:ascii="Times New Roman" w:hAnsi="Times New Roman" w:eastAsia="仿宋_GB2312" w:cs="Times New Roman"/>
          <w:kern w:val="0"/>
          <w:sz w:val="32"/>
          <w:szCs w:val="32"/>
          <w:lang w:val="en-US" w:eastAsia="zh-CN"/>
        </w:rPr>
        <w:t>46.37</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9.63</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26.21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人员增加及人员公积金基数调整</w:t>
      </w:r>
      <w:r>
        <w:rPr>
          <w:rFonts w:hint="default" w:ascii="Times New Roman" w:hAnsi="Times New Roman" w:eastAsia="仿宋_GB2312" w:cs="Times New Roman"/>
          <w:kern w:val="0"/>
          <w:sz w:val="32"/>
          <w:szCs w:val="32"/>
        </w:rPr>
        <w:t>。</w:t>
      </w:r>
    </w:p>
    <w:p w14:paraId="7D4C657E">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b/>
          <w:kern w:val="0"/>
          <w:sz w:val="32"/>
          <w:szCs w:val="32"/>
          <w:lang w:val="en-US" w:eastAsia="zh-CN" w:bidi="ar-SA"/>
        </w:rPr>
        <w:t>住房保障支出（类）住房改革支出（款）提租补贴（项）</w:t>
      </w:r>
      <w:r>
        <w:rPr>
          <w:rFonts w:hint="default" w:ascii="Times New Roman" w:hAnsi="Times New Roman" w:eastAsia="仿宋_GB2312" w:cs="Times New Roman"/>
          <w:kern w:val="0"/>
          <w:sz w:val="32"/>
          <w:szCs w:val="32"/>
        </w:rPr>
        <w:t>2024年预算</w:t>
      </w:r>
      <w:r>
        <w:rPr>
          <w:rFonts w:hint="default" w:ascii="Times New Roman" w:hAnsi="Times New Roman" w:eastAsia="仿宋_GB2312" w:cs="Times New Roman"/>
          <w:kern w:val="0"/>
          <w:sz w:val="32"/>
          <w:szCs w:val="32"/>
          <w:lang w:val="en-US" w:eastAsia="zh-CN"/>
        </w:rPr>
        <w:t>11.59</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11.59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今年新增提租补贴预算</w:t>
      </w:r>
      <w:r>
        <w:rPr>
          <w:rFonts w:hint="default" w:ascii="Times New Roman" w:hAnsi="Times New Roman" w:eastAsia="仿宋_GB2312" w:cs="Times New Roman"/>
          <w:kern w:val="0"/>
          <w:sz w:val="32"/>
          <w:szCs w:val="32"/>
        </w:rPr>
        <w:t>。</w:t>
      </w:r>
    </w:p>
    <w:p w14:paraId="032B4B4A">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b/>
          <w:kern w:val="0"/>
          <w:sz w:val="32"/>
          <w:szCs w:val="32"/>
          <w:lang w:val="en-US" w:eastAsia="zh-CN" w:bidi="ar-SA"/>
        </w:rPr>
        <w:t>住房保障支出（类）住房改革支出（款）购房补贴（项）</w:t>
      </w:r>
      <w:r>
        <w:rPr>
          <w:rFonts w:hint="default" w:ascii="Times New Roman" w:hAnsi="Times New Roman" w:eastAsia="仿宋_GB2312" w:cs="Times New Roman"/>
          <w:kern w:val="0"/>
          <w:sz w:val="32"/>
          <w:szCs w:val="32"/>
        </w:rPr>
        <w:t>2024年预算</w:t>
      </w:r>
      <w:r>
        <w:rPr>
          <w:rFonts w:hint="default" w:ascii="Times New Roman" w:hAnsi="Times New Roman" w:eastAsia="仿宋_GB2312" w:cs="Times New Roman"/>
          <w:kern w:val="0"/>
          <w:sz w:val="32"/>
          <w:szCs w:val="32"/>
          <w:lang w:val="en-US" w:eastAsia="zh-CN"/>
        </w:rPr>
        <w:t>19.32</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4.01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26.19</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人员增加及人员公积金基数调整</w:t>
      </w:r>
      <w:r>
        <w:rPr>
          <w:rFonts w:hint="default" w:ascii="Times New Roman" w:hAnsi="Times New Roman" w:eastAsia="仿宋_GB2312" w:cs="Times New Roman"/>
          <w:kern w:val="0"/>
          <w:sz w:val="32"/>
          <w:szCs w:val="32"/>
        </w:rPr>
        <w:t>。</w:t>
      </w:r>
    </w:p>
    <w:p w14:paraId="3E44C845">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14:paraId="40059895">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2024年一般公共预算基本支出</w:t>
      </w:r>
      <w:r>
        <w:rPr>
          <w:rFonts w:hint="default" w:ascii="Times New Roman" w:hAnsi="Times New Roman" w:eastAsia="仿宋_GB2312" w:cs="Times New Roman"/>
          <w:kern w:val="0"/>
          <w:sz w:val="32"/>
          <w:szCs w:val="32"/>
          <w:lang w:val="en-US" w:eastAsia="zh-CN"/>
        </w:rPr>
        <w:t>542.04</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480.82</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61.22</w:t>
      </w:r>
      <w:r>
        <w:rPr>
          <w:rFonts w:hint="default" w:ascii="Times New Roman" w:hAnsi="Times New Roman" w:eastAsia="仿宋_GB2312" w:cs="Times New Roman"/>
          <w:kern w:val="0"/>
          <w:sz w:val="32"/>
          <w:szCs w:val="32"/>
        </w:rPr>
        <w:t>万元。</w:t>
      </w:r>
    </w:p>
    <w:p w14:paraId="5DEBB093">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480.82</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退休费、生活补助、医疗费补助、对其他个人和家庭的补助支出。</w:t>
      </w:r>
    </w:p>
    <w:p w14:paraId="65D3E1AD">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61.22</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w:t>
      </w:r>
      <w:r>
        <w:rPr>
          <w:rFonts w:hint="default" w:ascii="Times New Roman" w:hAnsi="Times New Roman" w:eastAsia="仿宋_GB2312" w:cs="Times New Roman"/>
          <w:kern w:val="0"/>
          <w:sz w:val="32"/>
          <w:szCs w:val="32"/>
          <w:lang w:eastAsia="zh-CN"/>
        </w:rPr>
        <w:t>工会经费、其他交通费用、</w:t>
      </w:r>
      <w:r>
        <w:rPr>
          <w:rFonts w:hint="default" w:ascii="Times New Roman" w:hAnsi="Times New Roman" w:eastAsia="仿宋_GB2312" w:cs="Times New Roman"/>
          <w:kern w:val="0"/>
          <w:sz w:val="32"/>
          <w:szCs w:val="32"/>
        </w:rPr>
        <w:t>其他商品服务支出等。</w:t>
      </w:r>
    </w:p>
    <w:p w14:paraId="26FB7570">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14:paraId="35FC4380">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14:paraId="64C858E6">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14:paraId="2D3DB367">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14:paraId="04E945CB">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14:paraId="61AF4FF4">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2024年预算共安排项目支出</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原因主要是与</w:t>
      </w:r>
      <w:r>
        <w:rPr>
          <w:rFonts w:hint="eastAsia" w:ascii="Times New Roman" w:hAnsi="Times New Roman" w:eastAsia="仿宋_GB2312" w:cs="Times New Roman"/>
          <w:kern w:val="0"/>
          <w:sz w:val="32"/>
          <w:szCs w:val="32"/>
          <w:lang w:val="en-US" w:eastAsia="zh-CN"/>
        </w:rPr>
        <w:t>上年同期相比，2024年</w:t>
      </w:r>
      <w:r>
        <w:rPr>
          <w:rFonts w:hint="eastAsia" w:ascii="Times New Roman" w:hAnsi="Times New Roman" w:eastAsia="仿宋_GB2312" w:cs="Times New Roman"/>
          <w:kern w:val="0"/>
          <w:sz w:val="32"/>
          <w:szCs w:val="32"/>
          <w:lang w:eastAsia="zh-CN"/>
        </w:rPr>
        <w:t>招商项目数量更实，质量要求更高，按照过紧日子，厉行节约要求，保持项目支出总体与去年一致。</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2F06055">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14:paraId="26D1A5CA">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2024年预算安排政府采购支出</w:t>
      </w:r>
      <w:r>
        <w:rPr>
          <w:rFonts w:hint="default" w:ascii="Times New Roman" w:hAnsi="Times New Roman" w:eastAsia="仿宋_GB2312" w:cs="Times New Roman"/>
          <w:kern w:val="0"/>
          <w:sz w:val="32"/>
          <w:szCs w:val="32"/>
          <w:lang w:val="en-US" w:eastAsia="zh-CN"/>
        </w:rPr>
        <w:t>5.61</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4.56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434.29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办公地点搬迁及人员增加，购置便携式计算机及台式计算机等固定资产一批</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5.61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436BDEE0">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楷体_GB2312" w:cs="Times New Roman"/>
          <w:color w:val="FF0000"/>
          <w:sz w:val="32"/>
          <w:szCs w:val="32"/>
        </w:rPr>
      </w:pPr>
      <w:r>
        <w:rPr>
          <w:rFonts w:hint="default" w:ascii="Times New Roman" w:hAnsi="Times New Roman" w:eastAsia="黑体" w:cs="Times New Roman"/>
          <w:bCs/>
          <w:sz w:val="32"/>
          <w:szCs w:val="32"/>
        </w:rPr>
        <w:t>十一、关于2024年政府购买服务支出表的说明</w:t>
      </w:r>
    </w:p>
    <w:p w14:paraId="0344BC46">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2024年没有安排政府购买服务支出。</w:t>
      </w:r>
    </w:p>
    <w:p w14:paraId="79E0FA26">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30DB65F0">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5404A2E8">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招商工作经费</w:t>
      </w:r>
      <w:r>
        <w:rPr>
          <w:rFonts w:hint="default" w:ascii="Times New Roman" w:hAnsi="Times New Roman" w:eastAsia="仿宋_GB2312" w:cs="Times New Roman"/>
          <w:kern w:val="0"/>
          <w:sz w:val="32"/>
          <w:szCs w:val="32"/>
        </w:rPr>
        <w:t>”项目。</w:t>
      </w:r>
    </w:p>
    <w:p w14:paraId="2D97450A">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bCs/>
          <w:kern w:val="0"/>
          <w:sz w:val="32"/>
          <w:szCs w:val="32"/>
        </w:rPr>
        <w:t>满足全市重点招商项目的调度推进、市领导高频外出招商活动的组织承办、来淮客商的考察接待、大型节会活动的筹备、招商宣传资料的制作、全市招商队伍培训及规模项目固定资产投资审计费等。</w:t>
      </w:r>
    </w:p>
    <w:p w14:paraId="725CF40E">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bCs/>
          <w:kern w:val="0"/>
          <w:sz w:val="32"/>
          <w:szCs w:val="32"/>
        </w:rPr>
        <w:t>主要用于全市重点招商项目的调度推进、市领导高频外出招商活动的组织承办、来淮客商的考察接待、大型节会活动的筹备、招商宣传资料的制作、全市招商队伍培训等。</w:t>
      </w:r>
    </w:p>
    <w:p w14:paraId="0023953B">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lang w:eastAsia="zh-CN"/>
        </w:rPr>
        <w:t>淮北市投资促进中心</w:t>
      </w:r>
    </w:p>
    <w:p w14:paraId="2B7AE0DC">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lang w:val="en-US" w:eastAsia="zh-CN"/>
        </w:rPr>
        <w:t>2024年1月至12月</w:t>
      </w:r>
    </w:p>
    <w:p w14:paraId="024E42DE">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印刷费、差旅费、维修（护）费、会议费、公务接待费、委托业务费、其他交通费用、其他商品和服务支出</w:t>
      </w:r>
    </w:p>
    <w:p w14:paraId="15746CA1">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95万元</w:t>
      </w:r>
    </w:p>
    <w:p w14:paraId="5BB9AF06">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D37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352691F">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78E4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5461F7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w:t>
            </w:r>
            <w:r>
              <w:rPr>
                <w:rFonts w:hint="default" w:ascii="Times New Roman" w:hAnsi="Times New Roman" w:eastAsia="宋体" w:cs="Times New Roman"/>
                <w:color w:val="000000"/>
                <w:kern w:val="0"/>
                <w:sz w:val="20"/>
                <w:szCs w:val="20"/>
                <w:lang w:val="en-US" w:eastAsia="zh-CN"/>
              </w:rPr>
              <w:t>4</w:t>
            </w:r>
            <w:r>
              <w:rPr>
                <w:rFonts w:hint="default" w:ascii="Times New Roman" w:hAnsi="Times New Roman" w:eastAsia="宋体" w:cs="Times New Roman"/>
                <w:color w:val="000000"/>
                <w:kern w:val="0"/>
                <w:sz w:val="20"/>
                <w:szCs w:val="20"/>
              </w:rPr>
              <w:t xml:space="preserve">年度）                                </w:t>
            </w:r>
          </w:p>
        </w:tc>
      </w:tr>
      <w:tr w14:paraId="70DC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01055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5519890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招商工作经费</w:t>
            </w:r>
          </w:p>
        </w:tc>
      </w:tr>
      <w:tr w14:paraId="333F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91FCC1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32F758E9">
            <w:pPr>
              <w:jc w:val="center"/>
              <w:rPr>
                <w:rFonts w:hint="default" w:ascii="Times New Roman" w:hAnsi="Times New Roman" w:cs="Times New Roman"/>
                <w:sz w:val="20"/>
              </w:rPr>
            </w:pPr>
            <w:r>
              <w:rPr>
                <w:rFonts w:hint="default" w:ascii="Times New Roman" w:hAnsi="Times New Roman" w:cs="Times New Roman"/>
                <w:lang w:eastAsia="zh-CN"/>
              </w:rPr>
              <w:t>淮北市投资促进中心</w:t>
            </w:r>
          </w:p>
        </w:tc>
        <w:tc>
          <w:tcPr>
            <w:tcW w:w="1848" w:type="dxa"/>
            <w:tcBorders>
              <w:tl2br w:val="nil"/>
              <w:tr2bl w:val="nil"/>
            </w:tcBorders>
            <w:vAlign w:val="center"/>
          </w:tcPr>
          <w:p w14:paraId="72085CCC">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2D89926A">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淮北市投资促进中心</w:t>
            </w:r>
          </w:p>
        </w:tc>
      </w:tr>
      <w:tr w14:paraId="1DC2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6192F4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5C27184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年初预算</w:t>
            </w:r>
          </w:p>
        </w:tc>
        <w:tc>
          <w:tcPr>
            <w:tcW w:w="1848" w:type="dxa"/>
            <w:tcBorders>
              <w:tl2br w:val="nil"/>
              <w:tr2bl w:val="nil"/>
            </w:tcBorders>
            <w:vAlign w:val="center"/>
          </w:tcPr>
          <w:p w14:paraId="08EACEB7">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188C8EA9">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2024年</w:t>
            </w:r>
          </w:p>
        </w:tc>
      </w:tr>
      <w:tr w14:paraId="46A2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3A9601C">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项目资金</w:t>
            </w:r>
          </w:p>
          <w:p w14:paraId="1F13CEA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5CBBAE8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27A7C624">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95万元</w:t>
            </w:r>
          </w:p>
        </w:tc>
      </w:tr>
      <w:tr w14:paraId="1E0C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2B293E">
            <w:pPr>
              <w:jc w:val="center"/>
              <w:rPr>
                <w:rFonts w:hint="default" w:ascii="Times New Roman" w:hAnsi="Times New Roman" w:cs="Times New Roman"/>
                <w:sz w:val="20"/>
              </w:rPr>
            </w:pPr>
          </w:p>
        </w:tc>
        <w:tc>
          <w:tcPr>
            <w:tcW w:w="3349" w:type="dxa"/>
            <w:gridSpan w:val="2"/>
            <w:tcBorders>
              <w:tl2br w:val="nil"/>
              <w:tr2bl w:val="nil"/>
            </w:tcBorders>
            <w:vAlign w:val="center"/>
          </w:tcPr>
          <w:p w14:paraId="5054F4D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66E8EBC3">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95万元</w:t>
            </w:r>
          </w:p>
        </w:tc>
      </w:tr>
      <w:tr w14:paraId="6ED4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D404821">
            <w:pPr>
              <w:jc w:val="center"/>
              <w:rPr>
                <w:rFonts w:hint="default" w:ascii="Times New Roman" w:hAnsi="Times New Roman" w:cs="Times New Roman"/>
                <w:sz w:val="20"/>
              </w:rPr>
            </w:pPr>
          </w:p>
        </w:tc>
        <w:tc>
          <w:tcPr>
            <w:tcW w:w="3349" w:type="dxa"/>
            <w:gridSpan w:val="2"/>
            <w:tcBorders>
              <w:tl2br w:val="nil"/>
              <w:tr2bl w:val="nil"/>
            </w:tcBorders>
            <w:vAlign w:val="center"/>
          </w:tcPr>
          <w:p w14:paraId="120E5AD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7FC813C6">
            <w:pPr>
              <w:jc w:val="center"/>
              <w:rPr>
                <w:rFonts w:hint="default" w:ascii="Times New Roman" w:hAnsi="Times New Roman" w:cs="Times New Roman"/>
                <w:sz w:val="20"/>
              </w:rPr>
            </w:pPr>
          </w:p>
        </w:tc>
      </w:tr>
      <w:tr w14:paraId="50F5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777F85">
            <w:pPr>
              <w:jc w:val="center"/>
              <w:rPr>
                <w:rFonts w:hint="default" w:ascii="Times New Roman" w:hAnsi="Times New Roman" w:cs="Times New Roman"/>
                <w:sz w:val="20"/>
              </w:rPr>
            </w:pPr>
          </w:p>
        </w:tc>
        <w:tc>
          <w:tcPr>
            <w:tcW w:w="3349" w:type="dxa"/>
            <w:gridSpan w:val="2"/>
            <w:tcBorders>
              <w:tl2br w:val="nil"/>
              <w:tr2bl w:val="nil"/>
            </w:tcBorders>
            <w:vAlign w:val="center"/>
          </w:tcPr>
          <w:p w14:paraId="386920D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3E259268">
            <w:pPr>
              <w:jc w:val="right"/>
              <w:rPr>
                <w:rFonts w:hint="default" w:ascii="Times New Roman" w:hAnsi="Times New Roman" w:cs="Times New Roman"/>
                <w:sz w:val="20"/>
              </w:rPr>
            </w:pPr>
          </w:p>
        </w:tc>
      </w:tr>
      <w:tr w14:paraId="72E5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97AA6D1">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年度</w:t>
            </w:r>
          </w:p>
          <w:p w14:paraId="20C74AB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2AFBB57D">
            <w:pPr>
              <w:jc w:val="left"/>
              <w:rPr>
                <w:rFonts w:hint="default" w:ascii="Times New Roman" w:hAnsi="Times New Roman" w:cs="Times New Roman"/>
                <w:sz w:val="20"/>
              </w:rPr>
            </w:pPr>
            <w:r>
              <w:rPr>
                <w:rFonts w:hint="default" w:ascii="Times New Roman" w:hAnsi="Times New Roman" w:eastAsia="宋体" w:cs="Times New Roman"/>
                <w:i w:val="0"/>
                <w:color w:val="000000"/>
                <w:kern w:val="0"/>
                <w:sz w:val="21"/>
                <w:szCs w:val="21"/>
                <w:u w:val="none"/>
                <w:lang w:val="en-US" w:eastAsia="zh-CN" w:bidi="ar"/>
              </w:rPr>
              <w:t>满足全市重点招商项目的调度推进、市领导高频外出招商活动的组织承办、来淮客商的考察接待、大型节会活动的筹备、招商宣传资料的制作、全市招商队伍培训及规模项目固定资产投资审计费等。</w:t>
            </w:r>
          </w:p>
        </w:tc>
      </w:tr>
      <w:tr w14:paraId="5680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74DFE52">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绩</w:t>
            </w:r>
          </w:p>
          <w:p w14:paraId="1218E906">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效</w:t>
            </w:r>
          </w:p>
          <w:p w14:paraId="764EB659">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w:t>
            </w:r>
          </w:p>
          <w:p w14:paraId="39383AF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40EFC506">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一级</w:t>
            </w:r>
          </w:p>
          <w:p w14:paraId="10249CE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0E20F2E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12D4F75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218FF7E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6B04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6F3F2B">
            <w:pPr>
              <w:jc w:val="center"/>
              <w:rPr>
                <w:rFonts w:hint="default" w:ascii="Times New Roman" w:hAnsi="Times New Roman" w:cs="Times New Roman"/>
                <w:sz w:val="20"/>
              </w:rPr>
            </w:pPr>
          </w:p>
        </w:tc>
        <w:tc>
          <w:tcPr>
            <w:tcW w:w="723" w:type="dxa"/>
            <w:vMerge w:val="restart"/>
            <w:tcBorders>
              <w:tl2br w:val="nil"/>
              <w:tr2bl w:val="nil"/>
            </w:tcBorders>
            <w:vAlign w:val="center"/>
          </w:tcPr>
          <w:p w14:paraId="7DB888D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6FB40A4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26F23F8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项目数量</w:t>
            </w:r>
          </w:p>
        </w:tc>
        <w:tc>
          <w:tcPr>
            <w:tcW w:w="4228" w:type="dxa"/>
            <w:gridSpan w:val="2"/>
            <w:tcBorders>
              <w:tl2br w:val="nil"/>
              <w:tr2bl w:val="nil"/>
            </w:tcBorders>
            <w:vAlign w:val="center"/>
          </w:tcPr>
          <w:p w14:paraId="647D97D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完成年度目标任务</w:t>
            </w:r>
          </w:p>
        </w:tc>
      </w:tr>
      <w:tr w14:paraId="1900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8F1012">
            <w:pPr>
              <w:jc w:val="center"/>
              <w:rPr>
                <w:rFonts w:hint="default" w:ascii="Times New Roman" w:hAnsi="Times New Roman" w:cs="Times New Roman"/>
                <w:sz w:val="20"/>
              </w:rPr>
            </w:pPr>
          </w:p>
        </w:tc>
        <w:tc>
          <w:tcPr>
            <w:tcW w:w="723" w:type="dxa"/>
            <w:vMerge w:val="continue"/>
            <w:tcBorders>
              <w:tl2br w:val="nil"/>
              <w:tr2bl w:val="nil"/>
            </w:tcBorders>
            <w:vAlign w:val="center"/>
          </w:tcPr>
          <w:p w14:paraId="60AFC9CF">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74A75EB">
            <w:pPr>
              <w:jc w:val="center"/>
              <w:rPr>
                <w:rFonts w:hint="default" w:ascii="Times New Roman" w:hAnsi="Times New Roman" w:cs="Times New Roman"/>
                <w:sz w:val="20"/>
              </w:rPr>
            </w:pPr>
          </w:p>
        </w:tc>
        <w:tc>
          <w:tcPr>
            <w:tcW w:w="2872" w:type="dxa"/>
            <w:tcBorders>
              <w:tl2br w:val="nil"/>
              <w:tr2bl w:val="nil"/>
            </w:tcBorders>
            <w:vAlign w:val="center"/>
          </w:tcPr>
          <w:p w14:paraId="344B386B">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2CCD013A">
            <w:pPr>
              <w:jc w:val="center"/>
              <w:rPr>
                <w:rFonts w:hint="default" w:ascii="Times New Roman" w:hAnsi="Times New Roman" w:cs="Times New Roman"/>
                <w:sz w:val="20"/>
              </w:rPr>
            </w:pPr>
          </w:p>
        </w:tc>
      </w:tr>
      <w:tr w14:paraId="098C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7C14CA">
            <w:pPr>
              <w:jc w:val="center"/>
              <w:rPr>
                <w:rFonts w:hint="default" w:ascii="Times New Roman" w:hAnsi="Times New Roman" w:cs="Times New Roman"/>
                <w:sz w:val="20"/>
              </w:rPr>
            </w:pPr>
          </w:p>
        </w:tc>
        <w:tc>
          <w:tcPr>
            <w:tcW w:w="723" w:type="dxa"/>
            <w:vMerge w:val="continue"/>
            <w:tcBorders>
              <w:tl2br w:val="nil"/>
              <w:tr2bl w:val="nil"/>
            </w:tcBorders>
            <w:vAlign w:val="center"/>
          </w:tcPr>
          <w:p w14:paraId="5AFE54DC">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4D349EA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4DF36099">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项目质量</w:t>
            </w:r>
          </w:p>
        </w:tc>
        <w:tc>
          <w:tcPr>
            <w:tcW w:w="4228" w:type="dxa"/>
            <w:gridSpan w:val="2"/>
            <w:tcBorders>
              <w:tl2br w:val="nil"/>
              <w:tr2bl w:val="nil"/>
            </w:tcBorders>
            <w:vAlign w:val="center"/>
          </w:tcPr>
          <w:p w14:paraId="284F2C60">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项目高质量</w:t>
            </w:r>
          </w:p>
        </w:tc>
      </w:tr>
      <w:tr w14:paraId="510C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12C7E3">
            <w:pPr>
              <w:jc w:val="center"/>
              <w:rPr>
                <w:rFonts w:hint="default" w:ascii="Times New Roman" w:hAnsi="Times New Roman" w:cs="Times New Roman"/>
                <w:sz w:val="20"/>
              </w:rPr>
            </w:pPr>
          </w:p>
        </w:tc>
        <w:tc>
          <w:tcPr>
            <w:tcW w:w="723" w:type="dxa"/>
            <w:vMerge w:val="continue"/>
            <w:tcBorders>
              <w:tl2br w:val="nil"/>
              <w:tr2bl w:val="nil"/>
            </w:tcBorders>
            <w:vAlign w:val="center"/>
          </w:tcPr>
          <w:p w14:paraId="1E17A2F6">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EBE4992">
            <w:pPr>
              <w:jc w:val="center"/>
              <w:rPr>
                <w:rFonts w:hint="default" w:ascii="Times New Roman" w:hAnsi="Times New Roman" w:cs="Times New Roman"/>
                <w:sz w:val="20"/>
              </w:rPr>
            </w:pPr>
          </w:p>
        </w:tc>
        <w:tc>
          <w:tcPr>
            <w:tcW w:w="2872" w:type="dxa"/>
            <w:tcBorders>
              <w:tl2br w:val="nil"/>
              <w:tr2bl w:val="nil"/>
            </w:tcBorders>
            <w:vAlign w:val="center"/>
          </w:tcPr>
          <w:p w14:paraId="5B07A2DB">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1ED7174D">
            <w:pPr>
              <w:jc w:val="center"/>
              <w:rPr>
                <w:rFonts w:hint="default" w:ascii="Times New Roman" w:hAnsi="Times New Roman" w:cs="Times New Roman"/>
                <w:sz w:val="20"/>
              </w:rPr>
            </w:pPr>
          </w:p>
        </w:tc>
      </w:tr>
      <w:tr w14:paraId="3BE2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2E3E0C">
            <w:pPr>
              <w:jc w:val="center"/>
              <w:rPr>
                <w:rFonts w:hint="default" w:ascii="Times New Roman" w:hAnsi="Times New Roman" w:cs="Times New Roman"/>
                <w:sz w:val="20"/>
              </w:rPr>
            </w:pPr>
          </w:p>
        </w:tc>
        <w:tc>
          <w:tcPr>
            <w:tcW w:w="723" w:type="dxa"/>
            <w:vMerge w:val="continue"/>
            <w:tcBorders>
              <w:tl2br w:val="nil"/>
              <w:tr2bl w:val="nil"/>
            </w:tcBorders>
            <w:vAlign w:val="center"/>
          </w:tcPr>
          <w:p w14:paraId="6D304B0D">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4F14B1A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2F5F886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资金支付及时性</w:t>
            </w:r>
          </w:p>
        </w:tc>
        <w:tc>
          <w:tcPr>
            <w:tcW w:w="4228" w:type="dxa"/>
            <w:gridSpan w:val="2"/>
            <w:tcBorders>
              <w:tl2br w:val="nil"/>
              <w:tr2bl w:val="nil"/>
            </w:tcBorders>
            <w:vAlign w:val="center"/>
          </w:tcPr>
          <w:p w14:paraId="4C0BFF72">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及时支付</w:t>
            </w:r>
          </w:p>
        </w:tc>
      </w:tr>
      <w:tr w14:paraId="1767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3EBF69">
            <w:pPr>
              <w:jc w:val="center"/>
              <w:rPr>
                <w:rFonts w:hint="default" w:ascii="Times New Roman" w:hAnsi="Times New Roman" w:cs="Times New Roman"/>
                <w:sz w:val="20"/>
              </w:rPr>
            </w:pPr>
          </w:p>
        </w:tc>
        <w:tc>
          <w:tcPr>
            <w:tcW w:w="723" w:type="dxa"/>
            <w:vMerge w:val="continue"/>
            <w:tcBorders>
              <w:tl2br w:val="nil"/>
              <w:tr2bl w:val="nil"/>
            </w:tcBorders>
            <w:vAlign w:val="center"/>
          </w:tcPr>
          <w:p w14:paraId="7E826596">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65DF96C">
            <w:pPr>
              <w:jc w:val="center"/>
              <w:rPr>
                <w:rFonts w:hint="default" w:ascii="Times New Roman" w:hAnsi="Times New Roman" w:cs="Times New Roman"/>
                <w:sz w:val="20"/>
              </w:rPr>
            </w:pPr>
          </w:p>
        </w:tc>
        <w:tc>
          <w:tcPr>
            <w:tcW w:w="2872" w:type="dxa"/>
            <w:tcBorders>
              <w:tl2br w:val="nil"/>
              <w:tr2bl w:val="nil"/>
            </w:tcBorders>
            <w:vAlign w:val="center"/>
          </w:tcPr>
          <w:p w14:paraId="7374F308">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7FE1595B">
            <w:pPr>
              <w:jc w:val="center"/>
              <w:rPr>
                <w:rFonts w:hint="default" w:ascii="Times New Roman" w:hAnsi="Times New Roman" w:cs="Times New Roman"/>
                <w:sz w:val="20"/>
              </w:rPr>
            </w:pPr>
          </w:p>
        </w:tc>
      </w:tr>
      <w:tr w14:paraId="4C13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B21699">
            <w:pPr>
              <w:jc w:val="center"/>
              <w:rPr>
                <w:rFonts w:hint="default" w:ascii="Times New Roman" w:hAnsi="Times New Roman" w:cs="Times New Roman"/>
                <w:sz w:val="20"/>
              </w:rPr>
            </w:pPr>
          </w:p>
        </w:tc>
        <w:tc>
          <w:tcPr>
            <w:tcW w:w="723" w:type="dxa"/>
            <w:vMerge w:val="continue"/>
            <w:tcBorders>
              <w:tl2br w:val="nil"/>
              <w:tr2bl w:val="nil"/>
            </w:tcBorders>
            <w:vAlign w:val="center"/>
          </w:tcPr>
          <w:p w14:paraId="25E1FA0F">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1D11266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2B06E786">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成本控制</w:t>
            </w:r>
          </w:p>
        </w:tc>
        <w:tc>
          <w:tcPr>
            <w:tcW w:w="4228" w:type="dxa"/>
            <w:gridSpan w:val="2"/>
            <w:tcBorders>
              <w:tl2br w:val="nil"/>
              <w:tr2bl w:val="nil"/>
            </w:tcBorders>
            <w:vAlign w:val="center"/>
          </w:tcPr>
          <w:p w14:paraId="0986A952">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精简开支</w:t>
            </w:r>
          </w:p>
        </w:tc>
      </w:tr>
      <w:tr w14:paraId="2A49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E66A48">
            <w:pPr>
              <w:jc w:val="center"/>
              <w:rPr>
                <w:rFonts w:hint="default" w:ascii="Times New Roman" w:hAnsi="Times New Roman" w:cs="Times New Roman"/>
                <w:sz w:val="20"/>
              </w:rPr>
            </w:pPr>
          </w:p>
        </w:tc>
        <w:tc>
          <w:tcPr>
            <w:tcW w:w="723" w:type="dxa"/>
            <w:vMerge w:val="continue"/>
            <w:tcBorders>
              <w:tl2br w:val="nil"/>
              <w:tr2bl w:val="nil"/>
            </w:tcBorders>
            <w:vAlign w:val="center"/>
          </w:tcPr>
          <w:p w14:paraId="68A50DF8">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051FA7C4">
            <w:pPr>
              <w:jc w:val="center"/>
              <w:rPr>
                <w:rFonts w:hint="default" w:ascii="Times New Roman" w:hAnsi="Times New Roman" w:cs="Times New Roman"/>
                <w:sz w:val="20"/>
              </w:rPr>
            </w:pPr>
          </w:p>
        </w:tc>
        <w:tc>
          <w:tcPr>
            <w:tcW w:w="2872" w:type="dxa"/>
            <w:tcBorders>
              <w:tl2br w:val="nil"/>
              <w:tr2bl w:val="nil"/>
            </w:tcBorders>
            <w:vAlign w:val="center"/>
          </w:tcPr>
          <w:p w14:paraId="74BB3326">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25778413">
            <w:pPr>
              <w:jc w:val="center"/>
              <w:rPr>
                <w:rFonts w:hint="default" w:ascii="Times New Roman" w:hAnsi="Times New Roman" w:cs="Times New Roman"/>
                <w:sz w:val="20"/>
              </w:rPr>
            </w:pPr>
          </w:p>
        </w:tc>
      </w:tr>
      <w:tr w14:paraId="567F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3EC998">
            <w:pPr>
              <w:jc w:val="center"/>
              <w:rPr>
                <w:rFonts w:hint="default" w:ascii="Times New Roman" w:hAnsi="Times New Roman" w:cs="Times New Roman"/>
                <w:sz w:val="20"/>
              </w:rPr>
            </w:pPr>
          </w:p>
        </w:tc>
        <w:tc>
          <w:tcPr>
            <w:tcW w:w="723" w:type="dxa"/>
            <w:vMerge w:val="restart"/>
            <w:tcBorders>
              <w:tl2br w:val="nil"/>
              <w:tr2bl w:val="nil"/>
            </w:tcBorders>
            <w:vAlign w:val="center"/>
          </w:tcPr>
          <w:p w14:paraId="4F8943D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vMerge w:val="restart"/>
            <w:tcBorders>
              <w:tl2br w:val="nil"/>
              <w:tr2bl w:val="nil"/>
            </w:tcBorders>
            <w:vAlign w:val="center"/>
          </w:tcPr>
          <w:p w14:paraId="63030D1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3D17542F">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经济效益</w:t>
            </w:r>
          </w:p>
        </w:tc>
        <w:tc>
          <w:tcPr>
            <w:tcW w:w="4228" w:type="dxa"/>
            <w:gridSpan w:val="2"/>
            <w:tcBorders>
              <w:tl2br w:val="nil"/>
              <w:tr2bl w:val="nil"/>
            </w:tcBorders>
            <w:vAlign w:val="center"/>
          </w:tcPr>
          <w:p w14:paraId="070CEEE0">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拉动经济</w:t>
            </w:r>
          </w:p>
        </w:tc>
      </w:tr>
      <w:tr w14:paraId="055C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A7E126">
            <w:pPr>
              <w:jc w:val="center"/>
              <w:rPr>
                <w:rFonts w:hint="default" w:ascii="Times New Roman" w:hAnsi="Times New Roman" w:cs="Times New Roman"/>
                <w:sz w:val="20"/>
              </w:rPr>
            </w:pPr>
          </w:p>
        </w:tc>
        <w:tc>
          <w:tcPr>
            <w:tcW w:w="723" w:type="dxa"/>
            <w:vMerge w:val="continue"/>
            <w:tcBorders>
              <w:tl2br w:val="nil"/>
              <w:tr2bl w:val="nil"/>
            </w:tcBorders>
            <w:vAlign w:val="center"/>
          </w:tcPr>
          <w:p w14:paraId="5D1D6A7B">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DEF2008">
            <w:pPr>
              <w:jc w:val="center"/>
              <w:rPr>
                <w:rFonts w:hint="default" w:ascii="Times New Roman" w:hAnsi="Times New Roman" w:cs="Times New Roman"/>
                <w:sz w:val="20"/>
              </w:rPr>
            </w:pPr>
          </w:p>
        </w:tc>
        <w:tc>
          <w:tcPr>
            <w:tcW w:w="2872" w:type="dxa"/>
            <w:tcBorders>
              <w:tl2br w:val="nil"/>
              <w:tr2bl w:val="nil"/>
            </w:tcBorders>
            <w:vAlign w:val="center"/>
          </w:tcPr>
          <w:p w14:paraId="3459FDA2">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7BA108E6">
            <w:pPr>
              <w:jc w:val="center"/>
              <w:rPr>
                <w:rFonts w:hint="default" w:ascii="Times New Roman" w:hAnsi="Times New Roman" w:cs="Times New Roman"/>
                <w:sz w:val="20"/>
              </w:rPr>
            </w:pPr>
          </w:p>
        </w:tc>
      </w:tr>
      <w:tr w14:paraId="40F2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61E355">
            <w:pPr>
              <w:jc w:val="center"/>
              <w:rPr>
                <w:rFonts w:hint="default" w:ascii="Times New Roman" w:hAnsi="Times New Roman" w:cs="Times New Roman"/>
                <w:sz w:val="20"/>
              </w:rPr>
            </w:pPr>
          </w:p>
        </w:tc>
        <w:tc>
          <w:tcPr>
            <w:tcW w:w="723" w:type="dxa"/>
            <w:vMerge w:val="continue"/>
            <w:tcBorders>
              <w:tl2br w:val="nil"/>
              <w:tr2bl w:val="nil"/>
            </w:tcBorders>
            <w:vAlign w:val="center"/>
          </w:tcPr>
          <w:p w14:paraId="73E3A19B">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58C9B80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52C7D2C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社会效益</w:t>
            </w:r>
          </w:p>
        </w:tc>
        <w:tc>
          <w:tcPr>
            <w:tcW w:w="4228" w:type="dxa"/>
            <w:gridSpan w:val="2"/>
            <w:tcBorders>
              <w:tl2br w:val="nil"/>
              <w:tr2bl w:val="nil"/>
            </w:tcBorders>
            <w:vAlign w:val="center"/>
          </w:tcPr>
          <w:p w14:paraId="52011B2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拉动就业</w:t>
            </w:r>
          </w:p>
        </w:tc>
      </w:tr>
      <w:tr w14:paraId="147A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E3B6B3">
            <w:pPr>
              <w:jc w:val="center"/>
              <w:rPr>
                <w:rFonts w:hint="default" w:ascii="Times New Roman" w:hAnsi="Times New Roman" w:cs="Times New Roman"/>
                <w:sz w:val="20"/>
              </w:rPr>
            </w:pPr>
          </w:p>
        </w:tc>
        <w:tc>
          <w:tcPr>
            <w:tcW w:w="723" w:type="dxa"/>
            <w:vMerge w:val="continue"/>
            <w:tcBorders>
              <w:tl2br w:val="nil"/>
              <w:tr2bl w:val="nil"/>
            </w:tcBorders>
            <w:vAlign w:val="center"/>
          </w:tcPr>
          <w:p w14:paraId="6A1A71FD">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7FDBA55">
            <w:pPr>
              <w:jc w:val="center"/>
              <w:rPr>
                <w:rFonts w:hint="default" w:ascii="Times New Roman" w:hAnsi="Times New Roman" w:cs="Times New Roman"/>
                <w:sz w:val="20"/>
              </w:rPr>
            </w:pPr>
          </w:p>
        </w:tc>
        <w:tc>
          <w:tcPr>
            <w:tcW w:w="2872" w:type="dxa"/>
            <w:tcBorders>
              <w:tl2br w:val="nil"/>
              <w:tr2bl w:val="nil"/>
            </w:tcBorders>
            <w:vAlign w:val="center"/>
          </w:tcPr>
          <w:p w14:paraId="215C84C9">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72C31826">
            <w:pPr>
              <w:jc w:val="center"/>
              <w:rPr>
                <w:rFonts w:hint="default" w:ascii="Times New Roman" w:hAnsi="Times New Roman" w:cs="Times New Roman"/>
                <w:sz w:val="20"/>
              </w:rPr>
            </w:pPr>
          </w:p>
        </w:tc>
      </w:tr>
      <w:tr w14:paraId="0624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BEAF71">
            <w:pPr>
              <w:jc w:val="center"/>
              <w:rPr>
                <w:rFonts w:hint="default" w:ascii="Times New Roman" w:hAnsi="Times New Roman" w:cs="Times New Roman"/>
                <w:sz w:val="20"/>
              </w:rPr>
            </w:pPr>
          </w:p>
        </w:tc>
        <w:tc>
          <w:tcPr>
            <w:tcW w:w="723" w:type="dxa"/>
            <w:vMerge w:val="continue"/>
            <w:tcBorders>
              <w:tl2br w:val="nil"/>
              <w:tr2bl w:val="nil"/>
            </w:tcBorders>
            <w:vAlign w:val="center"/>
          </w:tcPr>
          <w:p w14:paraId="6A219046">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0ADC9B9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2BDBABB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生态效益</w:t>
            </w:r>
          </w:p>
        </w:tc>
        <w:tc>
          <w:tcPr>
            <w:tcW w:w="4228" w:type="dxa"/>
            <w:gridSpan w:val="2"/>
            <w:tcBorders>
              <w:tl2br w:val="nil"/>
              <w:tr2bl w:val="nil"/>
            </w:tcBorders>
            <w:vAlign w:val="center"/>
          </w:tcPr>
          <w:p w14:paraId="3C93CB0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项目环评达标</w:t>
            </w:r>
          </w:p>
        </w:tc>
      </w:tr>
      <w:tr w14:paraId="4842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1E3554">
            <w:pPr>
              <w:jc w:val="center"/>
              <w:rPr>
                <w:rFonts w:hint="default" w:ascii="Times New Roman" w:hAnsi="Times New Roman" w:cs="Times New Roman"/>
                <w:sz w:val="20"/>
              </w:rPr>
            </w:pPr>
          </w:p>
        </w:tc>
        <w:tc>
          <w:tcPr>
            <w:tcW w:w="723" w:type="dxa"/>
            <w:vMerge w:val="continue"/>
            <w:tcBorders>
              <w:tl2br w:val="nil"/>
              <w:tr2bl w:val="nil"/>
            </w:tcBorders>
            <w:vAlign w:val="center"/>
          </w:tcPr>
          <w:p w14:paraId="7058E23E">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0F6DC43">
            <w:pPr>
              <w:jc w:val="center"/>
              <w:rPr>
                <w:rFonts w:hint="default" w:ascii="Times New Roman" w:hAnsi="Times New Roman" w:cs="Times New Roman"/>
                <w:sz w:val="20"/>
              </w:rPr>
            </w:pPr>
          </w:p>
        </w:tc>
        <w:tc>
          <w:tcPr>
            <w:tcW w:w="2872" w:type="dxa"/>
            <w:tcBorders>
              <w:tl2br w:val="nil"/>
              <w:tr2bl w:val="nil"/>
            </w:tcBorders>
            <w:vAlign w:val="center"/>
          </w:tcPr>
          <w:p w14:paraId="6B72AAE8">
            <w:pPr>
              <w:widowControl/>
              <w:jc w:val="left"/>
              <w:textAlignment w:val="center"/>
              <w:rPr>
                <w:rFonts w:hint="default" w:ascii="Times New Roman" w:hAnsi="Times New Roman" w:eastAsia="汉仪中秀体简" w:cs="Times New Roman"/>
                <w:color w:val="000000"/>
                <w:kern w:val="0"/>
                <w:sz w:val="20"/>
                <w:szCs w:val="20"/>
              </w:rPr>
            </w:pPr>
          </w:p>
        </w:tc>
        <w:tc>
          <w:tcPr>
            <w:tcW w:w="4228" w:type="dxa"/>
            <w:gridSpan w:val="2"/>
            <w:tcBorders>
              <w:tl2br w:val="nil"/>
              <w:tr2bl w:val="nil"/>
            </w:tcBorders>
            <w:vAlign w:val="center"/>
          </w:tcPr>
          <w:p w14:paraId="4BD59A82">
            <w:pPr>
              <w:widowControl/>
              <w:jc w:val="left"/>
              <w:textAlignment w:val="center"/>
              <w:rPr>
                <w:rFonts w:hint="default" w:ascii="Times New Roman" w:hAnsi="Times New Roman" w:eastAsia="汉仪中秀体简" w:cs="Times New Roman"/>
                <w:color w:val="000000"/>
                <w:kern w:val="0"/>
                <w:sz w:val="20"/>
                <w:szCs w:val="20"/>
              </w:rPr>
            </w:pPr>
          </w:p>
        </w:tc>
      </w:tr>
      <w:tr w14:paraId="6F58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1942313">
            <w:pPr>
              <w:jc w:val="center"/>
              <w:rPr>
                <w:rFonts w:hint="default" w:ascii="Times New Roman" w:hAnsi="Times New Roman" w:cs="Times New Roman"/>
                <w:sz w:val="20"/>
              </w:rPr>
            </w:pPr>
          </w:p>
        </w:tc>
        <w:tc>
          <w:tcPr>
            <w:tcW w:w="723" w:type="dxa"/>
            <w:vMerge w:val="continue"/>
            <w:tcBorders>
              <w:tl2br w:val="nil"/>
              <w:tr2bl w:val="nil"/>
            </w:tcBorders>
            <w:vAlign w:val="center"/>
          </w:tcPr>
          <w:p w14:paraId="43B546BD">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33D68B6E">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418351F7">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经济可持续性</w:t>
            </w:r>
          </w:p>
        </w:tc>
        <w:tc>
          <w:tcPr>
            <w:tcW w:w="4228" w:type="dxa"/>
            <w:gridSpan w:val="2"/>
            <w:tcBorders>
              <w:tl2br w:val="nil"/>
              <w:tr2bl w:val="nil"/>
            </w:tcBorders>
            <w:vAlign w:val="center"/>
          </w:tcPr>
          <w:p w14:paraId="41422320">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促进经济可持续发展</w:t>
            </w:r>
          </w:p>
        </w:tc>
      </w:tr>
      <w:tr w14:paraId="69F3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33A87B43">
            <w:pPr>
              <w:jc w:val="center"/>
              <w:rPr>
                <w:rFonts w:hint="default" w:ascii="Times New Roman" w:hAnsi="Times New Roman" w:cs="Times New Roman"/>
                <w:sz w:val="20"/>
              </w:rPr>
            </w:pPr>
          </w:p>
        </w:tc>
        <w:tc>
          <w:tcPr>
            <w:tcW w:w="723" w:type="dxa"/>
            <w:vMerge w:val="continue"/>
            <w:tcBorders>
              <w:tl2br w:val="nil"/>
              <w:tr2bl w:val="nil"/>
            </w:tcBorders>
            <w:vAlign w:val="center"/>
          </w:tcPr>
          <w:p w14:paraId="030EAF79">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C5EAC3E">
            <w:pPr>
              <w:jc w:val="center"/>
              <w:rPr>
                <w:rFonts w:hint="default" w:ascii="Times New Roman" w:hAnsi="Times New Roman" w:eastAsia="宋体" w:cs="Times New Roman"/>
                <w:sz w:val="20"/>
              </w:rPr>
            </w:pPr>
          </w:p>
        </w:tc>
        <w:tc>
          <w:tcPr>
            <w:tcW w:w="2872" w:type="dxa"/>
            <w:tcBorders>
              <w:tl2br w:val="nil"/>
              <w:tr2bl w:val="nil"/>
            </w:tcBorders>
            <w:vAlign w:val="center"/>
          </w:tcPr>
          <w:p w14:paraId="791AAC02">
            <w:pPr>
              <w:widowControl/>
              <w:jc w:val="left"/>
              <w:textAlignment w:val="center"/>
              <w:rPr>
                <w:rFonts w:hint="default" w:ascii="Times New Roman" w:hAnsi="Times New Roman" w:eastAsia="宋体" w:cs="Times New Roman"/>
                <w:color w:val="000000"/>
                <w:kern w:val="0"/>
                <w:sz w:val="20"/>
                <w:szCs w:val="20"/>
              </w:rPr>
            </w:pPr>
          </w:p>
        </w:tc>
        <w:tc>
          <w:tcPr>
            <w:tcW w:w="4228" w:type="dxa"/>
            <w:gridSpan w:val="2"/>
            <w:tcBorders>
              <w:tl2br w:val="nil"/>
              <w:tr2bl w:val="nil"/>
            </w:tcBorders>
            <w:vAlign w:val="center"/>
          </w:tcPr>
          <w:p w14:paraId="786B300F">
            <w:pPr>
              <w:jc w:val="center"/>
              <w:rPr>
                <w:rFonts w:hint="default" w:ascii="Times New Roman" w:hAnsi="Times New Roman" w:cs="Times New Roman"/>
                <w:sz w:val="20"/>
              </w:rPr>
            </w:pPr>
          </w:p>
        </w:tc>
      </w:tr>
      <w:tr w14:paraId="374F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CD5A10">
            <w:pPr>
              <w:jc w:val="center"/>
              <w:rPr>
                <w:rFonts w:hint="default" w:ascii="Times New Roman" w:hAnsi="Times New Roman" w:cs="Times New Roman"/>
                <w:sz w:val="20"/>
              </w:rPr>
            </w:pPr>
          </w:p>
        </w:tc>
        <w:tc>
          <w:tcPr>
            <w:tcW w:w="723" w:type="dxa"/>
            <w:vMerge w:val="restart"/>
            <w:tcBorders>
              <w:tl2br w:val="nil"/>
              <w:tr2bl w:val="nil"/>
            </w:tcBorders>
            <w:vAlign w:val="center"/>
          </w:tcPr>
          <w:p w14:paraId="2E6FA85C">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vMerge w:val="restart"/>
            <w:tcBorders>
              <w:tl2br w:val="nil"/>
              <w:tr2bl w:val="nil"/>
            </w:tcBorders>
            <w:vAlign w:val="center"/>
          </w:tcPr>
          <w:p w14:paraId="68CD3AD3">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40A9DAB0">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33D98A3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r w14:paraId="0040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C55B54">
            <w:pPr>
              <w:jc w:val="center"/>
              <w:rPr>
                <w:rFonts w:hint="default" w:ascii="Times New Roman" w:hAnsi="Times New Roman" w:cs="Times New Roman"/>
                <w:sz w:val="20"/>
              </w:rPr>
            </w:pPr>
          </w:p>
        </w:tc>
        <w:tc>
          <w:tcPr>
            <w:tcW w:w="723" w:type="dxa"/>
            <w:vMerge w:val="continue"/>
            <w:tcBorders>
              <w:tl2br w:val="nil"/>
              <w:tr2bl w:val="nil"/>
            </w:tcBorders>
            <w:vAlign w:val="center"/>
          </w:tcPr>
          <w:p w14:paraId="5831D3CB">
            <w:pPr>
              <w:jc w:val="center"/>
              <w:rPr>
                <w:rFonts w:hint="default" w:ascii="Times New Roman" w:hAnsi="Times New Roman" w:eastAsia="宋体" w:cs="Times New Roman"/>
                <w:sz w:val="20"/>
              </w:rPr>
            </w:pPr>
          </w:p>
        </w:tc>
        <w:tc>
          <w:tcPr>
            <w:tcW w:w="759" w:type="dxa"/>
            <w:gridSpan w:val="2"/>
            <w:vMerge w:val="continue"/>
            <w:tcBorders>
              <w:tl2br w:val="nil"/>
              <w:tr2bl w:val="nil"/>
            </w:tcBorders>
            <w:vAlign w:val="center"/>
          </w:tcPr>
          <w:p w14:paraId="611763D4">
            <w:pPr>
              <w:jc w:val="center"/>
              <w:rPr>
                <w:rFonts w:hint="default" w:ascii="Times New Roman" w:hAnsi="Times New Roman" w:eastAsia="宋体" w:cs="Times New Roman"/>
                <w:sz w:val="20"/>
              </w:rPr>
            </w:pPr>
          </w:p>
        </w:tc>
        <w:tc>
          <w:tcPr>
            <w:tcW w:w="2872" w:type="dxa"/>
            <w:tcBorders>
              <w:tl2br w:val="nil"/>
              <w:tr2bl w:val="nil"/>
            </w:tcBorders>
            <w:vAlign w:val="center"/>
          </w:tcPr>
          <w:p w14:paraId="1CE2B0D9">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sz w:val="20"/>
                <w:lang w:eastAsia="zh-CN"/>
              </w:rPr>
              <w:t>客商满意度</w:t>
            </w:r>
          </w:p>
        </w:tc>
        <w:tc>
          <w:tcPr>
            <w:tcW w:w="4228" w:type="dxa"/>
            <w:gridSpan w:val="2"/>
            <w:tcBorders>
              <w:tl2br w:val="nil"/>
              <w:tr2bl w:val="nil"/>
            </w:tcBorders>
            <w:vAlign w:val="center"/>
          </w:tcPr>
          <w:p w14:paraId="6671B4E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0BAAD01C">
      <w:pPr>
        <w:rPr>
          <w:rFonts w:hint="default" w:ascii="Times New Roman" w:hAnsi="Times New Roman" w:cs="Times New Roman"/>
        </w:rPr>
      </w:pPr>
    </w:p>
    <w:p w14:paraId="793A2134">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外商投资服务中心工作经费</w:t>
      </w:r>
      <w:r>
        <w:rPr>
          <w:rFonts w:hint="default" w:ascii="Times New Roman" w:hAnsi="Times New Roman" w:eastAsia="仿宋_GB2312" w:cs="Times New Roman"/>
          <w:kern w:val="0"/>
          <w:sz w:val="32"/>
          <w:szCs w:val="32"/>
        </w:rPr>
        <w:t>”项目。</w:t>
      </w:r>
    </w:p>
    <w:p w14:paraId="6DF9F7C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lang w:val="en-US" w:eastAsia="zh-CN"/>
        </w:rPr>
        <w:t>加强与在肥省属企业的沟通联络，负责合肥周边地区以及南京及周边地区的招商工作，及满足驻合肥工作人员日常接待、差旅、办公等费用。</w:t>
      </w:r>
    </w:p>
    <w:p w14:paraId="5FAB10FF">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bCs/>
          <w:kern w:val="0"/>
          <w:sz w:val="32"/>
          <w:szCs w:val="32"/>
        </w:rPr>
        <w:t>2015年9月市政府驻合肥办事处撤销，原驻合办4名财政全额拨款事业编制和3 名工作人员一并划转到我中心下属市外商投资服务中心，主要用于合肥驻点招商，</w:t>
      </w:r>
      <w:r>
        <w:rPr>
          <w:rFonts w:hint="default" w:ascii="Times New Roman" w:hAnsi="Times New Roman" w:eastAsia="仿宋_GB2312" w:cs="Times New Roman"/>
          <w:bCs/>
          <w:sz w:val="32"/>
          <w:szCs w:val="32"/>
        </w:rPr>
        <w:t>加强与在合肥省属企业的沟通联络，</w:t>
      </w:r>
      <w:r>
        <w:rPr>
          <w:rFonts w:hint="default" w:ascii="Times New Roman" w:hAnsi="Times New Roman" w:eastAsia="仿宋_GB2312" w:cs="Times New Roman"/>
          <w:bCs/>
          <w:kern w:val="0"/>
          <w:sz w:val="32"/>
          <w:szCs w:val="32"/>
        </w:rPr>
        <w:t>负责合肥、南京及周边城市的招商工作。</w:t>
      </w:r>
    </w:p>
    <w:p w14:paraId="0A69B0F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lang w:eastAsia="zh-CN"/>
        </w:rPr>
        <w:t>淮北市投资促进中心</w:t>
      </w:r>
    </w:p>
    <w:p w14:paraId="6CC217D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lang w:val="en-US" w:eastAsia="zh-CN"/>
        </w:rPr>
        <w:t>2024年1月至12月</w:t>
      </w:r>
    </w:p>
    <w:p w14:paraId="5646DF0C">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办公费、印刷费、邮电费、劳务费、维修（护）费、办公设备购置、其他商品和服务支出。</w:t>
      </w:r>
    </w:p>
    <w:p w14:paraId="41EC5C5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sz w:val="32"/>
          <w:szCs w:val="32"/>
          <w:lang w:val="en-US" w:eastAsia="zh-CN"/>
        </w:rPr>
        <w:t>23万元</w:t>
      </w:r>
    </w:p>
    <w:p w14:paraId="396C9C3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EC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DD7D676">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6326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47BBDA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w:t>
            </w:r>
            <w:r>
              <w:rPr>
                <w:rFonts w:hint="default" w:ascii="Times New Roman" w:hAnsi="Times New Roman" w:eastAsia="宋体" w:cs="Times New Roman"/>
                <w:color w:val="000000"/>
                <w:kern w:val="0"/>
                <w:sz w:val="20"/>
                <w:szCs w:val="20"/>
                <w:lang w:val="en-US" w:eastAsia="zh-CN"/>
              </w:rPr>
              <w:t>4</w:t>
            </w:r>
            <w:r>
              <w:rPr>
                <w:rFonts w:hint="default" w:ascii="Times New Roman" w:hAnsi="Times New Roman" w:eastAsia="宋体" w:cs="Times New Roman"/>
                <w:color w:val="000000"/>
                <w:kern w:val="0"/>
                <w:sz w:val="20"/>
                <w:szCs w:val="20"/>
              </w:rPr>
              <w:t xml:space="preserve">年度）                                </w:t>
            </w:r>
          </w:p>
        </w:tc>
      </w:tr>
      <w:tr w14:paraId="6C4D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E68CAA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44981388">
            <w:pPr>
              <w:jc w:val="center"/>
              <w:rPr>
                <w:rFonts w:hint="default" w:ascii="Times New Roman" w:hAnsi="Times New Roman" w:cs="Times New Roman" w:eastAsiaTheme="minorEastAsia"/>
                <w:sz w:val="20"/>
                <w:lang w:eastAsia="zh-CN"/>
              </w:rPr>
            </w:pPr>
            <w:r>
              <w:rPr>
                <w:rFonts w:hint="default" w:ascii="Times New Roman" w:hAnsi="Times New Roman" w:cs="Times New Roman"/>
                <w:color w:val="000000"/>
                <w:sz w:val="20"/>
                <w:szCs w:val="20"/>
                <w:lang w:val="en-US" w:eastAsia="zh-CN"/>
              </w:rPr>
              <w:t>外商投资服务中心工作经费</w:t>
            </w:r>
          </w:p>
        </w:tc>
      </w:tr>
      <w:tr w14:paraId="793D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18BCAA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304AD72C">
            <w:pPr>
              <w:jc w:val="center"/>
              <w:rPr>
                <w:rFonts w:hint="default" w:ascii="Times New Roman" w:hAnsi="Times New Roman" w:cs="Times New Roman"/>
                <w:sz w:val="20"/>
              </w:rPr>
            </w:pPr>
            <w:r>
              <w:rPr>
                <w:rFonts w:hint="default" w:ascii="Times New Roman" w:hAnsi="Times New Roman" w:cs="Times New Roman"/>
                <w:lang w:eastAsia="zh-CN"/>
              </w:rPr>
              <w:t>淮北市投资促进中心</w:t>
            </w:r>
          </w:p>
        </w:tc>
        <w:tc>
          <w:tcPr>
            <w:tcW w:w="1848" w:type="dxa"/>
            <w:tcBorders>
              <w:tl2br w:val="nil"/>
              <w:tr2bl w:val="nil"/>
            </w:tcBorders>
            <w:vAlign w:val="center"/>
          </w:tcPr>
          <w:p w14:paraId="4E84E3DA">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49FF8038">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淮北市投资促进中心</w:t>
            </w:r>
          </w:p>
        </w:tc>
      </w:tr>
      <w:tr w14:paraId="39EA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C2534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3376393A">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年初预算</w:t>
            </w:r>
          </w:p>
        </w:tc>
        <w:tc>
          <w:tcPr>
            <w:tcW w:w="1848" w:type="dxa"/>
            <w:tcBorders>
              <w:tl2br w:val="nil"/>
              <w:tr2bl w:val="nil"/>
            </w:tcBorders>
            <w:vAlign w:val="center"/>
          </w:tcPr>
          <w:p w14:paraId="432790E4">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4DC8DE92">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2024年</w:t>
            </w:r>
          </w:p>
        </w:tc>
      </w:tr>
      <w:tr w14:paraId="24AC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E693611">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项目资金</w:t>
            </w:r>
          </w:p>
          <w:p w14:paraId="261BCC5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268C057E">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455113BE">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23万元</w:t>
            </w:r>
          </w:p>
        </w:tc>
      </w:tr>
      <w:tr w14:paraId="5340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50CD01C">
            <w:pPr>
              <w:jc w:val="center"/>
              <w:rPr>
                <w:rFonts w:hint="default" w:ascii="Times New Roman" w:hAnsi="Times New Roman" w:cs="Times New Roman"/>
                <w:sz w:val="20"/>
              </w:rPr>
            </w:pPr>
          </w:p>
        </w:tc>
        <w:tc>
          <w:tcPr>
            <w:tcW w:w="3349" w:type="dxa"/>
            <w:gridSpan w:val="2"/>
            <w:tcBorders>
              <w:tl2br w:val="nil"/>
              <w:tr2bl w:val="nil"/>
            </w:tcBorders>
            <w:vAlign w:val="center"/>
          </w:tcPr>
          <w:p w14:paraId="0C59745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7F46E671">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23万元</w:t>
            </w:r>
          </w:p>
        </w:tc>
      </w:tr>
      <w:tr w14:paraId="26E6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91E88A">
            <w:pPr>
              <w:jc w:val="center"/>
              <w:rPr>
                <w:rFonts w:hint="default" w:ascii="Times New Roman" w:hAnsi="Times New Roman" w:cs="Times New Roman"/>
                <w:sz w:val="20"/>
              </w:rPr>
            </w:pPr>
          </w:p>
        </w:tc>
        <w:tc>
          <w:tcPr>
            <w:tcW w:w="3349" w:type="dxa"/>
            <w:gridSpan w:val="2"/>
            <w:tcBorders>
              <w:tl2br w:val="nil"/>
              <w:tr2bl w:val="nil"/>
            </w:tcBorders>
            <w:vAlign w:val="center"/>
          </w:tcPr>
          <w:p w14:paraId="40617EF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23C8CDD1">
            <w:pPr>
              <w:jc w:val="center"/>
              <w:rPr>
                <w:rFonts w:hint="default" w:ascii="Times New Roman" w:hAnsi="Times New Roman" w:cs="Times New Roman"/>
                <w:sz w:val="20"/>
              </w:rPr>
            </w:pPr>
          </w:p>
        </w:tc>
      </w:tr>
      <w:tr w14:paraId="263C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1EA4716">
            <w:pPr>
              <w:jc w:val="center"/>
              <w:rPr>
                <w:rFonts w:hint="default" w:ascii="Times New Roman" w:hAnsi="Times New Roman" w:cs="Times New Roman"/>
                <w:sz w:val="20"/>
              </w:rPr>
            </w:pPr>
          </w:p>
        </w:tc>
        <w:tc>
          <w:tcPr>
            <w:tcW w:w="3349" w:type="dxa"/>
            <w:gridSpan w:val="2"/>
            <w:tcBorders>
              <w:tl2br w:val="nil"/>
              <w:tr2bl w:val="nil"/>
            </w:tcBorders>
            <w:vAlign w:val="center"/>
          </w:tcPr>
          <w:p w14:paraId="0C6F8C0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36FAC010">
            <w:pPr>
              <w:jc w:val="right"/>
              <w:rPr>
                <w:rFonts w:hint="default" w:ascii="Times New Roman" w:hAnsi="Times New Roman" w:cs="Times New Roman"/>
                <w:sz w:val="20"/>
              </w:rPr>
            </w:pPr>
          </w:p>
        </w:tc>
      </w:tr>
      <w:tr w14:paraId="0741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76286D3">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年度</w:t>
            </w:r>
          </w:p>
          <w:p w14:paraId="6B985F7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C111F41">
            <w:pPr>
              <w:jc w:val="left"/>
              <w:rPr>
                <w:rFonts w:hint="default" w:ascii="Times New Roman" w:hAnsi="Times New Roman" w:cs="Times New Roman"/>
                <w:sz w:val="20"/>
              </w:rPr>
            </w:pPr>
            <w:r>
              <w:rPr>
                <w:rFonts w:hint="default" w:ascii="Times New Roman" w:hAnsi="Times New Roman" w:eastAsia="宋体" w:cs="Times New Roman"/>
                <w:i w:val="0"/>
                <w:color w:val="000000"/>
                <w:kern w:val="0"/>
                <w:sz w:val="21"/>
                <w:szCs w:val="21"/>
                <w:u w:val="none"/>
                <w:lang w:val="en-US" w:eastAsia="zh-CN" w:bidi="ar"/>
              </w:rPr>
              <w:t>加强与在肥省属企业的沟通联络，负责合肥周边地区以及南京及周边地区的招商工作，及满足驻合肥工作人员日常接待、差旅、办公等费用。</w:t>
            </w:r>
          </w:p>
        </w:tc>
      </w:tr>
      <w:tr w14:paraId="6F2A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56DC4A1">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绩</w:t>
            </w:r>
          </w:p>
          <w:p w14:paraId="7B325683">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效</w:t>
            </w:r>
          </w:p>
          <w:p w14:paraId="0FC81AB4">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w:t>
            </w:r>
          </w:p>
          <w:p w14:paraId="27A42ED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5A80BD42">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一级</w:t>
            </w:r>
          </w:p>
          <w:p w14:paraId="63936DF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4BBB8D3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0CFA6CD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50FF1F0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5A0F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FCA5CF">
            <w:pPr>
              <w:jc w:val="center"/>
              <w:rPr>
                <w:rFonts w:hint="default" w:ascii="Times New Roman" w:hAnsi="Times New Roman" w:cs="Times New Roman"/>
                <w:sz w:val="20"/>
              </w:rPr>
            </w:pPr>
          </w:p>
        </w:tc>
        <w:tc>
          <w:tcPr>
            <w:tcW w:w="723" w:type="dxa"/>
            <w:vMerge w:val="restart"/>
            <w:tcBorders>
              <w:tl2br w:val="nil"/>
              <w:tr2bl w:val="nil"/>
            </w:tcBorders>
            <w:vAlign w:val="center"/>
          </w:tcPr>
          <w:p w14:paraId="78ED6F3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7068F52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74685816">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中心自身招引项目数量</w:t>
            </w:r>
          </w:p>
        </w:tc>
        <w:tc>
          <w:tcPr>
            <w:tcW w:w="4228" w:type="dxa"/>
            <w:gridSpan w:val="2"/>
            <w:tcBorders>
              <w:tl2br w:val="nil"/>
              <w:tr2bl w:val="nil"/>
            </w:tcBorders>
            <w:vAlign w:val="center"/>
          </w:tcPr>
          <w:p w14:paraId="1221C33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完成年度目标任务</w:t>
            </w:r>
          </w:p>
        </w:tc>
      </w:tr>
      <w:tr w14:paraId="27B5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EC0A2D">
            <w:pPr>
              <w:jc w:val="center"/>
              <w:rPr>
                <w:rFonts w:hint="default" w:ascii="Times New Roman" w:hAnsi="Times New Roman" w:cs="Times New Roman"/>
                <w:sz w:val="20"/>
              </w:rPr>
            </w:pPr>
          </w:p>
        </w:tc>
        <w:tc>
          <w:tcPr>
            <w:tcW w:w="723" w:type="dxa"/>
            <w:vMerge w:val="continue"/>
            <w:tcBorders>
              <w:tl2br w:val="nil"/>
              <w:tr2bl w:val="nil"/>
            </w:tcBorders>
            <w:vAlign w:val="center"/>
          </w:tcPr>
          <w:p w14:paraId="394EC258">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327C99E">
            <w:pPr>
              <w:jc w:val="center"/>
              <w:rPr>
                <w:rFonts w:hint="default" w:ascii="Times New Roman" w:hAnsi="Times New Roman" w:cs="Times New Roman"/>
                <w:sz w:val="20"/>
              </w:rPr>
            </w:pPr>
          </w:p>
        </w:tc>
        <w:tc>
          <w:tcPr>
            <w:tcW w:w="2872" w:type="dxa"/>
            <w:tcBorders>
              <w:tl2br w:val="nil"/>
              <w:tr2bl w:val="nil"/>
            </w:tcBorders>
            <w:vAlign w:val="center"/>
          </w:tcPr>
          <w:p w14:paraId="6101834E">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5858ED82">
            <w:pPr>
              <w:jc w:val="center"/>
              <w:rPr>
                <w:rFonts w:hint="default" w:ascii="Times New Roman" w:hAnsi="Times New Roman" w:cs="Times New Roman"/>
                <w:sz w:val="20"/>
              </w:rPr>
            </w:pPr>
          </w:p>
        </w:tc>
      </w:tr>
      <w:tr w14:paraId="01E7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072B3E">
            <w:pPr>
              <w:jc w:val="center"/>
              <w:rPr>
                <w:rFonts w:hint="default" w:ascii="Times New Roman" w:hAnsi="Times New Roman" w:cs="Times New Roman"/>
                <w:sz w:val="20"/>
              </w:rPr>
            </w:pPr>
          </w:p>
        </w:tc>
        <w:tc>
          <w:tcPr>
            <w:tcW w:w="723" w:type="dxa"/>
            <w:vMerge w:val="continue"/>
            <w:tcBorders>
              <w:tl2br w:val="nil"/>
              <w:tr2bl w:val="nil"/>
            </w:tcBorders>
            <w:vAlign w:val="center"/>
          </w:tcPr>
          <w:p w14:paraId="06AF47EB">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31F0E5C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28F1DEC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中心自身招引项目质量</w:t>
            </w:r>
          </w:p>
        </w:tc>
        <w:tc>
          <w:tcPr>
            <w:tcW w:w="4228" w:type="dxa"/>
            <w:gridSpan w:val="2"/>
            <w:tcBorders>
              <w:tl2br w:val="nil"/>
              <w:tr2bl w:val="nil"/>
            </w:tcBorders>
            <w:vAlign w:val="center"/>
          </w:tcPr>
          <w:p w14:paraId="0253261A">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项目高质量</w:t>
            </w:r>
          </w:p>
        </w:tc>
      </w:tr>
      <w:tr w14:paraId="2FA5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291534">
            <w:pPr>
              <w:jc w:val="center"/>
              <w:rPr>
                <w:rFonts w:hint="default" w:ascii="Times New Roman" w:hAnsi="Times New Roman" w:cs="Times New Roman"/>
                <w:sz w:val="20"/>
              </w:rPr>
            </w:pPr>
          </w:p>
        </w:tc>
        <w:tc>
          <w:tcPr>
            <w:tcW w:w="723" w:type="dxa"/>
            <w:vMerge w:val="continue"/>
            <w:tcBorders>
              <w:tl2br w:val="nil"/>
              <w:tr2bl w:val="nil"/>
            </w:tcBorders>
            <w:vAlign w:val="center"/>
          </w:tcPr>
          <w:p w14:paraId="7F6B5705">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6E34704">
            <w:pPr>
              <w:jc w:val="center"/>
              <w:rPr>
                <w:rFonts w:hint="default" w:ascii="Times New Roman" w:hAnsi="Times New Roman" w:cs="Times New Roman"/>
                <w:sz w:val="20"/>
              </w:rPr>
            </w:pPr>
          </w:p>
        </w:tc>
        <w:tc>
          <w:tcPr>
            <w:tcW w:w="2872" w:type="dxa"/>
            <w:tcBorders>
              <w:tl2br w:val="nil"/>
              <w:tr2bl w:val="nil"/>
            </w:tcBorders>
            <w:vAlign w:val="center"/>
          </w:tcPr>
          <w:p w14:paraId="51ACEA96">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63384121">
            <w:pPr>
              <w:jc w:val="center"/>
              <w:rPr>
                <w:rFonts w:hint="default" w:ascii="Times New Roman" w:hAnsi="Times New Roman" w:cs="Times New Roman"/>
                <w:sz w:val="20"/>
              </w:rPr>
            </w:pPr>
          </w:p>
        </w:tc>
      </w:tr>
      <w:tr w14:paraId="4DE3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2A2B75">
            <w:pPr>
              <w:jc w:val="center"/>
              <w:rPr>
                <w:rFonts w:hint="default" w:ascii="Times New Roman" w:hAnsi="Times New Roman" w:cs="Times New Roman"/>
                <w:sz w:val="20"/>
              </w:rPr>
            </w:pPr>
          </w:p>
        </w:tc>
        <w:tc>
          <w:tcPr>
            <w:tcW w:w="723" w:type="dxa"/>
            <w:vMerge w:val="continue"/>
            <w:tcBorders>
              <w:tl2br w:val="nil"/>
              <w:tr2bl w:val="nil"/>
            </w:tcBorders>
            <w:vAlign w:val="center"/>
          </w:tcPr>
          <w:p w14:paraId="619B2977">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0D4D004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753B36AD">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资金支付及时性</w:t>
            </w:r>
          </w:p>
        </w:tc>
        <w:tc>
          <w:tcPr>
            <w:tcW w:w="4228" w:type="dxa"/>
            <w:gridSpan w:val="2"/>
            <w:tcBorders>
              <w:tl2br w:val="nil"/>
              <w:tr2bl w:val="nil"/>
            </w:tcBorders>
            <w:vAlign w:val="center"/>
          </w:tcPr>
          <w:p w14:paraId="44D41B77">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及时支付</w:t>
            </w:r>
          </w:p>
        </w:tc>
      </w:tr>
      <w:tr w14:paraId="5718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838B46">
            <w:pPr>
              <w:jc w:val="center"/>
              <w:rPr>
                <w:rFonts w:hint="default" w:ascii="Times New Roman" w:hAnsi="Times New Roman" w:cs="Times New Roman"/>
                <w:sz w:val="20"/>
              </w:rPr>
            </w:pPr>
          </w:p>
        </w:tc>
        <w:tc>
          <w:tcPr>
            <w:tcW w:w="723" w:type="dxa"/>
            <w:vMerge w:val="continue"/>
            <w:tcBorders>
              <w:tl2br w:val="nil"/>
              <w:tr2bl w:val="nil"/>
            </w:tcBorders>
            <w:vAlign w:val="center"/>
          </w:tcPr>
          <w:p w14:paraId="427F1017">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933E75E">
            <w:pPr>
              <w:jc w:val="center"/>
              <w:rPr>
                <w:rFonts w:hint="default" w:ascii="Times New Roman" w:hAnsi="Times New Roman" w:cs="Times New Roman"/>
                <w:sz w:val="20"/>
              </w:rPr>
            </w:pPr>
          </w:p>
        </w:tc>
        <w:tc>
          <w:tcPr>
            <w:tcW w:w="2872" w:type="dxa"/>
            <w:tcBorders>
              <w:tl2br w:val="nil"/>
              <w:tr2bl w:val="nil"/>
            </w:tcBorders>
            <w:vAlign w:val="center"/>
          </w:tcPr>
          <w:p w14:paraId="77D7B727">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11D081AC">
            <w:pPr>
              <w:jc w:val="center"/>
              <w:rPr>
                <w:rFonts w:hint="default" w:ascii="Times New Roman" w:hAnsi="Times New Roman" w:cs="Times New Roman"/>
                <w:sz w:val="20"/>
              </w:rPr>
            </w:pPr>
          </w:p>
        </w:tc>
      </w:tr>
      <w:tr w14:paraId="69E7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E6B97C">
            <w:pPr>
              <w:jc w:val="center"/>
              <w:rPr>
                <w:rFonts w:hint="default" w:ascii="Times New Roman" w:hAnsi="Times New Roman" w:cs="Times New Roman"/>
                <w:sz w:val="20"/>
              </w:rPr>
            </w:pPr>
          </w:p>
        </w:tc>
        <w:tc>
          <w:tcPr>
            <w:tcW w:w="723" w:type="dxa"/>
            <w:vMerge w:val="continue"/>
            <w:tcBorders>
              <w:tl2br w:val="nil"/>
              <w:tr2bl w:val="nil"/>
            </w:tcBorders>
            <w:vAlign w:val="center"/>
          </w:tcPr>
          <w:p w14:paraId="1CBB7E38">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38FA456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4ABF109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成本控制</w:t>
            </w:r>
          </w:p>
        </w:tc>
        <w:tc>
          <w:tcPr>
            <w:tcW w:w="4228" w:type="dxa"/>
            <w:gridSpan w:val="2"/>
            <w:tcBorders>
              <w:tl2br w:val="nil"/>
              <w:tr2bl w:val="nil"/>
            </w:tcBorders>
            <w:vAlign w:val="center"/>
          </w:tcPr>
          <w:p w14:paraId="3B3B3C7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精简开支</w:t>
            </w:r>
          </w:p>
        </w:tc>
      </w:tr>
      <w:tr w14:paraId="03F5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62968F">
            <w:pPr>
              <w:jc w:val="center"/>
              <w:rPr>
                <w:rFonts w:hint="default" w:ascii="Times New Roman" w:hAnsi="Times New Roman" w:cs="Times New Roman"/>
                <w:sz w:val="20"/>
              </w:rPr>
            </w:pPr>
          </w:p>
        </w:tc>
        <w:tc>
          <w:tcPr>
            <w:tcW w:w="723" w:type="dxa"/>
            <w:vMerge w:val="continue"/>
            <w:tcBorders>
              <w:tl2br w:val="nil"/>
              <w:tr2bl w:val="nil"/>
            </w:tcBorders>
            <w:vAlign w:val="center"/>
          </w:tcPr>
          <w:p w14:paraId="360249D5">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D07559D">
            <w:pPr>
              <w:jc w:val="center"/>
              <w:rPr>
                <w:rFonts w:hint="default" w:ascii="Times New Roman" w:hAnsi="Times New Roman" w:cs="Times New Roman"/>
                <w:sz w:val="20"/>
              </w:rPr>
            </w:pPr>
          </w:p>
        </w:tc>
        <w:tc>
          <w:tcPr>
            <w:tcW w:w="2872" w:type="dxa"/>
            <w:tcBorders>
              <w:tl2br w:val="nil"/>
              <w:tr2bl w:val="nil"/>
            </w:tcBorders>
            <w:vAlign w:val="center"/>
          </w:tcPr>
          <w:p w14:paraId="70FB1DD0">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5C76E653">
            <w:pPr>
              <w:jc w:val="center"/>
              <w:rPr>
                <w:rFonts w:hint="default" w:ascii="Times New Roman" w:hAnsi="Times New Roman" w:cs="Times New Roman"/>
                <w:sz w:val="20"/>
              </w:rPr>
            </w:pPr>
          </w:p>
        </w:tc>
      </w:tr>
      <w:tr w14:paraId="5283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1D84E3">
            <w:pPr>
              <w:jc w:val="center"/>
              <w:rPr>
                <w:rFonts w:hint="default" w:ascii="Times New Roman" w:hAnsi="Times New Roman" w:cs="Times New Roman"/>
                <w:sz w:val="20"/>
              </w:rPr>
            </w:pPr>
          </w:p>
        </w:tc>
        <w:tc>
          <w:tcPr>
            <w:tcW w:w="723" w:type="dxa"/>
            <w:vMerge w:val="restart"/>
            <w:tcBorders>
              <w:tl2br w:val="nil"/>
              <w:tr2bl w:val="nil"/>
            </w:tcBorders>
            <w:vAlign w:val="center"/>
          </w:tcPr>
          <w:p w14:paraId="70E267F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vMerge w:val="restart"/>
            <w:tcBorders>
              <w:tl2br w:val="nil"/>
              <w:tr2bl w:val="nil"/>
            </w:tcBorders>
            <w:vAlign w:val="center"/>
          </w:tcPr>
          <w:p w14:paraId="4B05AC7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69038DF0">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经济效益</w:t>
            </w:r>
          </w:p>
        </w:tc>
        <w:tc>
          <w:tcPr>
            <w:tcW w:w="4228" w:type="dxa"/>
            <w:gridSpan w:val="2"/>
            <w:tcBorders>
              <w:tl2br w:val="nil"/>
              <w:tr2bl w:val="nil"/>
            </w:tcBorders>
            <w:vAlign w:val="center"/>
          </w:tcPr>
          <w:p w14:paraId="01564084">
            <w:pPr>
              <w:jc w:val="center"/>
              <w:rPr>
                <w:rFonts w:hint="default" w:ascii="Times New Roman" w:hAnsi="Times New Roman" w:cs="Times New Roman" w:eastAsiaTheme="minorEastAsia"/>
                <w:sz w:val="20"/>
                <w:lang w:eastAsia="zh-CN"/>
              </w:rPr>
            </w:pPr>
            <w:r>
              <w:rPr>
                <w:rFonts w:hint="default" w:ascii="Times New Roman" w:hAnsi="Times New Roman" w:eastAsia="宋体" w:cs="Times New Roman"/>
                <w:i w:val="0"/>
                <w:color w:val="000000"/>
                <w:kern w:val="0"/>
                <w:sz w:val="21"/>
                <w:szCs w:val="21"/>
                <w:u w:val="none"/>
                <w:lang w:val="en-US" w:eastAsia="zh-CN" w:bidi="ar"/>
              </w:rPr>
              <w:t>完成本年年中心自身招商任务</w:t>
            </w:r>
          </w:p>
        </w:tc>
      </w:tr>
      <w:tr w14:paraId="0BFC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8541BA">
            <w:pPr>
              <w:jc w:val="center"/>
              <w:rPr>
                <w:rFonts w:hint="default" w:ascii="Times New Roman" w:hAnsi="Times New Roman" w:cs="Times New Roman"/>
                <w:sz w:val="20"/>
              </w:rPr>
            </w:pPr>
          </w:p>
        </w:tc>
        <w:tc>
          <w:tcPr>
            <w:tcW w:w="723" w:type="dxa"/>
            <w:vMerge w:val="continue"/>
            <w:tcBorders>
              <w:tl2br w:val="nil"/>
              <w:tr2bl w:val="nil"/>
            </w:tcBorders>
            <w:vAlign w:val="center"/>
          </w:tcPr>
          <w:p w14:paraId="153D8C32">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20AB937">
            <w:pPr>
              <w:jc w:val="center"/>
              <w:rPr>
                <w:rFonts w:hint="default" w:ascii="Times New Roman" w:hAnsi="Times New Roman" w:cs="Times New Roman"/>
                <w:sz w:val="20"/>
              </w:rPr>
            </w:pPr>
          </w:p>
        </w:tc>
        <w:tc>
          <w:tcPr>
            <w:tcW w:w="2872" w:type="dxa"/>
            <w:tcBorders>
              <w:tl2br w:val="nil"/>
              <w:tr2bl w:val="nil"/>
            </w:tcBorders>
            <w:vAlign w:val="center"/>
          </w:tcPr>
          <w:p w14:paraId="3DFB2BB2">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3BDAAF98">
            <w:pPr>
              <w:jc w:val="center"/>
              <w:rPr>
                <w:rFonts w:hint="default" w:ascii="Times New Roman" w:hAnsi="Times New Roman" w:cs="Times New Roman"/>
                <w:sz w:val="20"/>
              </w:rPr>
            </w:pPr>
          </w:p>
        </w:tc>
      </w:tr>
      <w:tr w14:paraId="7859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C21C7B">
            <w:pPr>
              <w:jc w:val="center"/>
              <w:rPr>
                <w:rFonts w:hint="default" w:ascii="Times New Roman" w:hAnsi="Times New Roman" w:cs="Times New Roman"/>
                <w:sz w:val="20"/>
              </w:rPr>
            </w:pPr>
          </w:p>
        </w:tc>
        <w:tc>
          <w:tcPr>
            <w:tcW w:w="723" w:type="dxa"/>
            <w:vMerge w:val="continue"/>
            <w:tcBorders>
              <w:tl2br w:val="nil"/>
              <w:tr2bl w:val="nil"/>
            </w:tcBorders>
            <w:vAlign w:val="center"/>
          </w:tcPr>
          <w:p w14:paraId="5768E7FC">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7AA9D06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78570AE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社会效益</w:t>
            </w:r>
          </w:p>
        </w:tc>
        <w:tc>
          <w:tcPr>
            <w:tcW w:w="4228" w:type="dxa"/>
            <w:gridSpan w:val="2"/>
            <w:tcBorders>
              <w:tl2br w:val="nil"/>
              <w:tr2bl w:val="nil"/>
            </w:tcBorders>
            <w:vAlign w:val="center"/>
          </w:tcPr>
          <w:p w14:paraId="6D2CEB0D">
            <w:pPr>
              <w:jc w:val="center"/>
              <w:rPr>
                <w:rFonts w:hint="default" w:ascii="Times New Roman" w:hAnsi="Times New Roman" w:cs="Times New Roman" w:eastAsiaTheme="minorEastAsia"/>
                <w:sz w:val="20"/>
                <w:lang w:eastAsia="zh-CN"/>
              </w:rPr>
            </w:pPr>
            <w:r>
              <w:rPr>
                <w:rFonts w:hint="default" w:ascii="Times New Roman" w:hAnsi="Times New Roman" w:eastAsia="宋体" w:cs="Times New Roman"/>
                <w:i w:val="0"/>
                <w:color w:val="000000"/>
                <w:kern w:val="0"/>
                <w:sz w:val="21"/>
                <w:szCs w:val="21"/>
                <w:u w:val="none"/>
                <w:lang w:val="en-US" w:eastAsia="zh-CN" w:bidi="ar"/>
              </w:rPr>
              <w:t>带动就业</w:t>
            </w:r>
          </w:p>
        </w:tc>
      </w:tr>
      <w:tr w14:paraId="0CE6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A2F203">
            <w:pPr>
              <w:jc w:val="center"/>
              <w:rPr>
                <w:rFonts w:hint="default" w:ascii="Times New Roman" w:hAnsi="Times New Roman" w:cs="Times New Roman"/>
                <w:sz w:val="20"/>
              </w:rPr>
            </w:pPr>
          </w:p>
        </w:tc>
        <w:tc>
          <w:tcPr>
            <w:tcW w:w="723" w:type="dxa"/>
            <w:vMerge w:val="continue"/>
            <w:tcBorders>
              <w:tl2br w:val="nil"/>
              <w:tr2bl w:val="nil"/>
            </w:tcBorders>
            <w:vAlign w:val="center"/>
          </w:tcPr>
          <w:p w14:paraId="2574185E">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C6A2CFB">
            <w:pPr>
              <w:jc w:val="center"/>
              <w:rPr>
                <w:rFonts w:hint="default" w:ascii="Times New Roman" w:hAnsi="Times New Roman" w:cs="Times New Roman"/>
                <w:sz w:val="20"/>
              </w:rPr>
            </w:pPr>
          </w:p>
        </w:tc>
        <w:tc>
          <w:tcPr>
            <w:tcW w:w="2872" w:type="dxa"/>
            <w:tcBorders>
              <w:tl2br w:val="nil"/>
              <w:tr2bl w:val="nil"/>
            </w:tcBorders>
            <w:vAlign w:val="center"/>
          </w:tcPr>
          <w:p w14:paraId="10A99BCB">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11EAC207">
            <w:pPr>
              <w:jc w:val="center"/>
              <w:rPr>
                <w:rFonts w:hint="default" w:ascii="Times New Roman" w:hAnsi="Times New Roman" w:cs="Times New Roman"/>
                <w:sz w:val="20"/>
              </w:rPr>
            </w:pPr>
          </w:p>
        </w:tc>
      </w:tr>
      <w:tr w14:paraId="64DB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A29DA0">
            <w:pPr>
              <w:jc w:val="center"/>
              <w:rPr>
                <w:rFonts w:hint="default" w:ascii="Times New Roman" w:hAnsi="Times New Roman" w:cs="Times New Roman"/>
                <w:sz w:val="20"/>
              </w:rPr>
            </w:pPr>
          </w:p>
        </w:tc>
        <w:tc>
          <w:tcPr>
            <w:tcW w:w="723" w:type="dxa"/>
            <w:vMerge w:val="continue"/>
            <w:tcBorders>
              <w:tl2br w:val="nil"/>
              <w:tr2bl w:val="nil"/>
            </w:tcBorders>
            <w:vAlign w:val="center"/>
          </w:tcPr>
          <w:p w14:paraId="0AFD5008">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7B44EC4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0BC08D7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生态效益</w:t>
            </w:r>
          </w:p>
        </w:tc>
        <w:tc>
          <w:tcPr>
            <w:tcW w:w="4228" w:type="dxa"/>
            <w:gridSpan w:val="2"/>
            <w:tcBorders>
              <w:tl2br w:val="nil"/>
              <w:tr2bl w:val="nil"/>
            </w:tcBorders>
            <w:vAlign w:val="center"/>
          </w:tcPr>
          <w:p w14:paraId="0B8B7A7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项目环评达标</w:t>
            </w:r>
          </w:p>
        </w:tc>
      </w:tr>
      <w:tr w14:paraId="4E5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A93278">
            <w:pPr>
              <w:jc w:val="center"/>
              <w:rPr>
                <w:rFonts w:hint="default" w:ascii="Times New Roman" w:hAnsi="Times New Roman" w:cs="Times New Roman"/>
                <w:sz w:val="20"/>
              </w:rPr>
            </w:pPr>
          </w:p>
        </w:tc>
        <w:tc>
          <w:tcPr>
            <w:tcW w:w="723" w:type="dxa"/>
            <w:vMerge w:val="continue"/>
            <w:tcBorders>
              <w:tl2br w:val="nil"/>
              <w:tr2bl w:val="nil"/>
            </w:tcBorders>
            <w:vAlign w:val="center"/>
          </w:tcPr>
          <w:p w14:paraId="581DEEC4">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DF3284E">
            <w:pPr>
              <w:jc w:val="center"/>
              <w:rPr>
                <w:rFonts w:hint="default" w:ascii="Times New Roman" w:hAnsi="Times New Roman" w:cs="Times New Roman"/>
                <w:sz w:val="20"/>
              </w:rPr>
            </w:pPr>
          </w:p>
        </w:tc>
        <w:tc>
          <w:tcPr>
            <w:tcW w:w="2872" w:type="dxa"/>
            <w:tcBorders>
              <w:tl2br w:val="nil"/>
              <w:tr2bl w:val="nil"/>
            </w:tcBorders>
            <w:vAlign w:val="center"/>
          </w:tcPr>
          <w:p w14:paraId="0A6B81D9">
            <w:pPr>
              <w:widowControl/>
              <w:jc w:val="left"/>
              <w:textAlignment w:val="center"/>
              <w:rPr>
                <w:rFonts w:hint="default" w:ascii="Times New Roman" w:hAnsi="Times New Roman" w:eastAsia="汉仪中秀体简" w:cs="Times New Roman"/>
                <w:color w:val="000000"/>
                <w:kern w:val="0"/>
                <w:sz w:val="20"/>
                <w:szCs w:val="20"/>
              </w:rPr>
            </w:pPr>
          </w:p>
        </w:tc>
        <w:tc>
          <w:tcPr>
            <w:tcW w:w="4228" w:type="dxa"/>
            <w:gridSpan w:val="2"/>
            <w:tcBorders>
              <w:tl2br w:val="nil"/>
              <w:tr2bl w:val="nil"/>
            </w:tcBorders>
            <w:vAlign w:val="center"/>
          </w:tcPr>
          <w:p w14:paraId="23DCD55F">
            <w:pPr>
              <w:widowControl/>
              <w:jc w:val="left"/>
              <w:textAlignment w:val="center"/>
              <w:rPr>
                <w:rFonts w:hint="default" w:ascii="Times New Roman" w:hAnsi="Times New Roman" w:eastAsia="汉仪中秀体简" w:cs="Times New Roman"/>
                <w:color w:val="000000"/>
                <w:kern w:val="0"/>
                <w:sz w:val="20"/>
                <w:szCs w:val="20"/>
              </w:rPr>
            </w:pPr>
          </w:p>
        </w:tc>
      </w:tr>
      <w:tr w14:paraId="0173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54912E7">
            <w:pPr>
              <w:jc w:val="center"/>
              <w:rPr>
                <w:rFonts w:hint="default" w:ascii="Times New Roman" w:hAnsi="Times New Roman" w:cs="Times New Roman"/>
                <w:sz w:val="20"/>
              </w:rPr>
            </w:pPr>
          </w:p>
        </w:tc>
        <w:tc>
          <w:tcPr>
            <w:tcW w:w="723" w:type="dxa"/>
            <w:vMerge w:val="continue"/>
            <w:tcBorders>
              <w:tl2br w:val="nil"/>
              <w:tr2bl w:val="nil"/>
            </w:tcBorders>
            <w:vAlign w:val="center"/>
          </w:tcPr>
          <w:p w14:paraId="516B8F0E">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329430F4">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17518A7F">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经济可持续性</w:t>
            </w:r>
          </w:p>
        </w:tc>
        <w:tc>
          <w:tcPr>
            <w:tcW w:w="4228" w:type="dxa"/>
            <w:gridSpan w:val="2"/>
            <w:tcBorders>
              <w:tl2br w:val="nil"/>
              <w:tr2bl w:val="nil"/>
            </w:tcBorders>
            <w:vAlign w:val="center"/>
          </w:tcPr>
          <w:p w14:paraId="02854387">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促进中心工作正常运转</w:t>
            </w:r>
          </w:p>
        </w:tc>
      </w:tr>
      <w:tr w14:paraId="5921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1503D6F8">
            <w:pPr>
              <w:jc w:val="center"/>
              <w:rPr>
                <w:rFonts w:hint="default" w:ascii="Times New Roman" w:hAnsi="Times New Roman" w:cs="Times New Roman"/>
                <w:sz w:val="20"/>
              </w:rPr>
            </w:pPr>
          </w:p>
        </w:tc>
        <w:tc>
          <w:tcPr>
            <w:tcW w:w="723" w:type="dxa"/>
            <w:vMerge w:val="continue"/>
            <w:tcBorders>
              <w:tl2br w:val="nil"/>
              <w:tr2bl w:val="nil"/>
            </w:tcBorders>
            <w:vAlign w:val="center"/>
          </w:tcPr>
          <w:p w14:paraId="3FB374E1">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22B6756">
            <w:pPr>
              <w:jc w:val="center"/>
              <w:rPr>
                <w:rFonts w:hint="default" w:ascii="Times New Roman" w:hAnsi="Times New Roman" w:eastAsia="宋体" w:cs="Times New Roman"/>
                <w:sz w:val="20"/>
              </w:rPr>
            </w:pPr>
          </w:p>
        </w:tc>
        <w:tc>
          <w:tcPr>
            <w:tcW w:w="2872" w:type="dxa"/>
            <w:tcBorders>
              <w:tl2br w:val="nil"/>
              <w:tr2bl w:val="nil"/>
            </w:tcBorders>
            <w:vAlign w:val="center"/>
          </w:tcPr>
          <w:p w14:paraId="642C41C4">
            <w:pPr>
              <w:widowControl/>
              <w:jc w:val="left"/>
              <w:textAlignment w:val="center"/>
              <w:rPr>
                <w:rFonts w:hint="default" w:ascii="Times New Roman" w:hAnsi="Times New Roman" w:eastAsia="宋体" w:cs="Times New Roman"/>
                <w:color w:val="000000"/>
                <w:kern w:val="0"/>
                <w:sz w:val="20"/>
                <w:szCs w:val="20"/>
              </w:rPr>
            </w:pPr>
          </w:p>
        </w:tc>
        <w:tc>
          <w:tcPr>
            <w:tcW w:w="4228" w:type="dxa"/>
            <w:gridSpan w:val="2"/>
            <w:tcBorders>
              <w:tl2br w:val="nil"/>
              <w:tr2bl w:val="nil"/>
            </w:tcBorders>
            <w:vAlign w:val="center"/>
          </w:tcPr>
          <w:p w14:paraId="4D9205F9">
            <w:pPr>
              <w:jc w:val="center"/>
              <w:rPr>
                <w:rFonts w:hint="default" w:ascii="Times New Roman" w:hAnsi="Times New Roman" w:cs="Times New Roman"/>
                <w:sz w:val="20"/>
              </w:rPr>
            </w:pPr>
          </w:p>
        </w:tc>
      </w:tr>
      <w:tr w14:paraId="286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F168BB">
            <w:pPr>
              <w:jc w:val="center"/>
              <w:rPr>
                <w:rFonts w:hint="default" w:ascii="Times New Roman" w:hAnsi="Times New Roman" w:cs="Times New Roman"/>
                <w:sz w:val="20"/>
              </w:rPr>
            </w:pPr>
          </w:p>
        </w:tc>
        <w:tc>
          <w:tcPr>
            <w:tcW w:w="723" w:type="dxa"/>
            <w:vMerge w:val="restart"/>
            <w:tcBorders>
              <w:tl2br w:val="nil"/>
              <w:tr2bl w:val="nil"/>
            </w:tcBorders>
            <w:vAlign w:val="center"/>
          </w:tcPr>
          <w:p w14:paraId="2E019B0D">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vMerge w:val="restart"/>
            <w:tcBorders>
              <w:tl2br w:val="nil"/>
              <w:tr2bl w:val="nil"/>
            </w:tcBorders>
            <w:vAlign w:val="center"/>
          </w:tcPr>
          <w:p w14:paraId="219C61DC">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3DA6F2E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3E96975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r w14:paraId="491F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8C4019">
            <w:pPr>
              <w:jc w:val="center"/>
              <w:rPr>
                <w:rFonts w:hint="default" w:ascii="Times New Roman" w:hAnsi="Times New Roman" w:cs="Times New Roman"/>
                <w:sz w:val="20"/>
              </w:rPr>
            </w:pPr>
          </w:p>
        </w:tc>
        <w:tc>
          <w:tcPr>
            <w:tcW w:w="723" w:type="dxa"/>
            <w:vMerge w:val="continue"/>
            <w:tcBorders>
              <w:tl2br w:val="nil"/>
              <w:tr2bl w:val="nil"/>
            </w:tcBorders>
            <w:vAlign w:val="center"/>
          </w:tcPr>
          <w:p w14:paraId="059AAC66">
            <w:pPr>
              <w:jc w:val="center"/>
              <w:rPr>
                <w:rFonts w:hint="default" w:ascii="Times New Roman" w:hAnsi="Times New Roman" w:eastAsia="宋体" w:cs="Times New Roman"/>
                <w:sz w:val="20"/>
              </w:rPr>
            </w:pPr>
          </w:p>
        </w:tc>
        <w:tc>
          <w:tcPr>
            <w:tcW w:w="759" w:type="dxa"/>
            <w:gridSpan w:val="2"/>
            <w:vMerge w:val="continue"/>
            <w:tcBorders>
              <w:tl2br w:val="nil"/>
              <w:tr2bl w:val="nil"/>
            </w:tcBorders>
            <w:vAlign w:val="center"/>
          </w:tcPr>
          <w:p w14:paraId="2930DB63">
            <w:pPr>
              <w:jc w:val="center"/>
              <w:rPr>
                <w:rFonts w:hint="default" w:ascii="Times New Roman" w:hAnsi="Times New Roman" w:eastAsia="宋体" w:cs="Times New Roman"/>
                <w:sz w:val="20"/>
              </w:rPr>
            </w:pPr>
          </w:p>
        </w:tc>
        <w:tc>
          <w:tcPr>
            <w:tcW w:w="2872" w:type="dxa"/>
            <w:tcBorders>
              <w:tl2br w:val="nil"/>
              <w:tr2bl w:val="nil"/>
            </w:tcBorders>
            <w:vAlign w:val="center"/>
          </w:tcPr>
          <w:p w14:paraId="55683A7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sz w:val="20"/>
                <w:lang w:eastAsia="zh-CN"/>
              </w:rPr>
              <w:t>客商满意度</w:t>
            </w:r>
          </w:p>
        </w:tc>
        <w:tc>
          <w:tcPr>
            <w:tcW w:w="4228" w:type="dxa"/>
            <w:gridSpan w:val="2"/>
            <w:tcBorders>
              <w:tl2br w:val="nil"/>
              <w:tr2bl w:val="nil"/>
            </w:tcBorders>
            <w:vAlign w:val="center"/>
          </w:tcPr>
          <w:p w14:paraId="65B9E23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54CC68A6">
      <w:pPr>
        <w:pStyle w:val="2"/>
        <w:rPr>
          <w:rFonts w:hint="default" w:ascii="Times New Roman" w:hAnsi="Times New Roman" w:cs="Times New Roman"/>
        </w:rPr>
      </w:pPr>
    </w:p>
    <w:p w14:paraId="6F3CEF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新办公楼搬迁及设备配置费</w:t>
      </w:r>
      <w:r>
        <w:rPr>
          <w:rFonts w:hint="default" w:ascii="Times New Roman" w:hAnsi="Times New Roman" w:eastAsia="仿宋_GB2312" w:cs="Times New Roman"/>
          <w:kern w:val="0"/>
          <w:sz w:val="32"/>
          <w:szCs w:val="32"/>
        </w:rPr>
        <w:t>”项目。</w:t>
      </w:r>
    </w:p>
    <w:p w14:paraId="78B045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保障新办公地点搬迁及新办公室网络设备等配置费用。</w:t>
      </w:r>
    </w:p>
    <w:p w14:paraId="7A4711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按市领导要求，淮北市投资促进中心办公地点由淮北市招商大厦搬迁至淮北市科创中心。</w:t>
      </w:r>
    </w:p>
    <w:p w14:paraId="0E80FF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lang w:eastAsia="zh-CN"/>
        </w:rPr>
        <w:t>淮北市投资促进中心</w:t>
      </w:r>
    </w:p>
    <w:p w14:paraId="508BB9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2024年1月至12月</w:t>
      </w:r>
    </w:p>
    <w:p w14:paraId="4E00BA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办公室搬迁劳务费、新办公室网络设备购置费</w:t>
      </w:r>
    </w:p>
    <w:p w14:paraId="39D8BB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8万元</w:t>
      </w:r>
    </w:p>
    <w:p w14:paraId="3CD9FC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05E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E840FA1">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4008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3A09C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（2024年度）                                </w:t>
            </w:r>
          </w:p>
        </w:tc>
      </w:tr>
      <w:tr w14:paraId="38D1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E9C385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321F961B">
            <w:pPr>
              <w:jc w:val="center"/>
              <w:rPr>
                <w:rFonts w:hint="default" w:ascii="Times New Roman" w:hAnsi="Times New Roman" w:cs="Times New Roman"/>
                <w:sz w:val="20"/>
              </w:rPr>
            </w:pPr>
            <w:r>
              <w:rPr>
                <w:rFonts w:hint="default" w:ascii="Times New Roman" w:hAnsi="Times New Roman" w:cs="Times New Roman"/>
                <w:sz w:val="20"/>
              </w:rPr>
              <w:t>新办公楼搬迁及设备配置费</w:t>
            </w:r>
          </w:p>
        </w:tc>
      </w:tr>
      <w:tr w14:paraId="0CD2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6C6E75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2D9D59F6">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015</w:t>
            </w:r>
          </w:p>
        </w:tc>
        <w:tc>
          <w:tcPr>
            <w:tcW w:w="1848" w:type="dxa"/>
            <w:tcBorders>
              <w:tl2br w:val="nil"/>
              <w:tr2bl w:val="nil"/>
            </w:tcBorders>
            <w:vAlign w:val="center"/>
          </w:tcPr>
          <w:p w14:paraId="777D2942">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137B526A">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淮北市投资促进中心</w:t>
            </w:r>
          </w:p>
        </w:tc>
      </w:tr>
      <w:tr w14:paraId="65E0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874AAE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29E94670">
            <w:pPr>
              <w:jc w:val="center"/>
              <w:rPr>
                <w:rFonts w:hint="default" w:ascii="Times New Roman" w:hAnsi="Times New Roman" w:cs="Times New Roman"/>
                <w:sz w:val="20"/>
              </w:rPr>
            </w:pPr>
          </w:p>
        </w:tc>
        <w:tc>
          <w:tcPr>
            <w:tcW w:w="1848" w:type="dxa"/>
            <w:tcBorders>
              <w:tl2br w:val="nil"/>
              <w:tr2bl w:val="nil"/>
            </w:tcBorders>
            <w:vAlign w:val="center"/>
          </w:tcPr>
          <w:p w14:paraId="6A024D28">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5043EE77">
            <w:pPr>
              <w:jc w:val="center"/>
              <w:rPr>
                <w:rFonts w:hint="default" w:ascii="Times New Roman" w:hAnsi="Times New Roman" w:cs="Times New Roman"/>
              </w:rPr>
            </w:pPr>
          </w:p>
        </w:tc>
      </w:tr>
      <w:tr w14:paraId="4A03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B796A65">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项目资金</w:t>
            </w:r>
          </w:p>
          <w:p w14:paraId="0205069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7D3EF87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072E280D">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8万元</w:t>
            </w:r>
          </w:p>
        </w:tc>
      </w:tr>
      <w:tr w14:paraId="4DBF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87DC5E7">
            <w:pPr>
              <w:jc w:val="center"/>
              <w:rPr>
                <w:rFonts w:hint="default" w:ascii="Times New Roman" w:hAnsi="Times New Roman" w:cs="Times New Roman"/>
                <w:sz w:val="20"/>
              </w:rPr>
            </w:pPr>
          </w:p>
        </w:tc>
        <w:tc>
          <w:tcPr>
            <w:tcW w:w="3349" w:type="dxa"/>
            <w:gridSpan w:val="2"/>
            <w:tcBorders>
              <w:tl2br w:val="nil"/>
              <w:tr2bl w:val="nil"/>
            </w:tcBorders>
            <w:vAlign w:val="center"/>
          </w:tcPr>
          <w:p w14:paraId="68E8306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532EDF06">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8万元</w:t>
            </w:r>
          </w:p>
        </w:tc>
      </w:tr>
      <w:tr w14:paraId="6337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29E39D">
            <w:pPr>
              <w:jc w:val="center"/>
              <w:rPr>
                <w:rFonts w:hint="default" w:ascii="Times New Roman" w:hAnsi="Times New Roman" w:cs="Times New Roman"/>
                <w:sz w:val="20"/>
              </w:rPr>
            </w:pPr>
          </w:p>
        </w:tc>
        <w:tc>
          <w:tcPr>
            <w:tcW w:w="3349" w:type="dxa"/>
            <w:gridSpan w:val="2"/>
            <w:tcBorders>
              <w:tl2br w:val="nil"/>
              <w:tr2bl w:val="nil"/>
            </w:tcBorders>
            <w:vAlign w:val="center"/>
          </w:tcPr>
          <w:p w14:paraId="45F0225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11C2B9A7">
            <w:pPr>
              <w:jc w:val="center"/>
              <w:rPr>
                <w:rFonts w:hint="default" w:ascii="Times New Roman" w:hAnsi="Times New Roman" w:cs="Times New Roman"/>
                <w:sz w:val="20"/>
              </w:rPr>
            </w:pPr>
          </w:p>
        </w:tc>
      </w:tr>
      <w:tr w14:paraId="3A22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2703C56">
            <w:pPr>
              <w:jc w:val="center"/>
              <w:rPr>
                <w:rFonts w:hint="default" w:ascii="Times New Roman" w:hAnsi="Times New Roman" w:cs="Times New Roman"/>
                <w:sz w:val="20"/>
              </w:rPr>
            </w:pPr>
          </w:p>
        </w:tc>
        <w:tc>
          <w:tcPr>
            <w:tcW w:w="3349" w:type="dxa"/>
            <w:gridSpan w:val="2"/>
            <w:tcBorders>
              <w:tl2br w:val="nil"/>
              <w:tr2bl w:val="nil"/>
            </w:tcBorders>
            <w:vAlign w:val="center"/>
          </w:tcPr>
          <w:p w14:paraId="3FF8A64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25692B51">
            <w:pPr>
              <w:jc w:val="right"/>
              <w:rPr>
                <w:rFonts w:hint="default" w:ascii="Times New Roman" w:hAnsi="Times New Roman" w:cs="Times New Roman"/>
                <w:sz w:val="20"/>
              </w:rPr>
            </w:pPr>
          </w:p>
        </w:tc>
      </w:tr>
      <w:tr w14:paraId="7A27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9A19928">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年度</w:t>
            </w:r>
          </w:p>
          <w:p w14:paraId="6BC5DC3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27CD619D">
            <w:pPr>
              <w:jc w:val="left"/>
              <w:rPr>
                <w:rFonts w:hint="default" w:ascii="Times New Roman" w:hAnsi="Times New Roman" w:cs="Times New Roman"/>
                <w:sz w:val="20"/>
              </w:rPr>
            </w:pPr>
          </w:p>
        </w:tc>
      </w:tr>
      <w:tr w14:paraId="232D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A33CD76">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绩</w:t>
            </w:r>
          </w:p>
          <w:p w14:paraId="6EB31566">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效</w:t>
            </w:r>
          </w:p>
          <w:p w14:paraId="07633001">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w:t>
            </w:r>
          </w:p>
          <w:p w14:paraId="4206C5F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3C007AD7">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一级</w:t>
            </w:r>
          </w:p>
          <w:p w14:paraId="6FA8416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0D985D6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2484C26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4F4B527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0437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B65BFE">
            <w:pPr>
              <w:jc w:val="center"/>
              <w:rPr>
                <w:rFonts w:hint="default" w:ascii="Times New Roman" w:hAnsi="Times New Roman" w:cs="Times New Roman"/>
                <w:sz w:val="20"/>
              </w:rPr>
            </w:pPr>
          </w:p>
        </w:tc>
        <w:tc>
          <w:tcPr>
            <w:tcW w:w="723" w:type="dxa"/>
            <w:vMerge w:val="restart"/>
            <w:tcBorders>
              <w:tl2br w:val="nil"/>
              <w:tr2bl w:val="nil"/>
            </w:tcBorders>
            <w:vAlign w:val="center"/>
          </w:tcPr>
          <w:p w14:paraId="49ACEAB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0720C2F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75E137D6">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资金数量</w:t>
            </w:r>
          </w:p>
        </w:tc>
        <w:tc>
          <w:tcPr>
            <w:tcW w:w="4228" w:type="dxa"/>
            <w:gridSpan w:val="2"/>
            <w:tcBorders>
              <w:tl2br w:val="nil"/>
              <w:tr2bl w:val="nil"/>
            </w:tcBorders>
            <w:vAlign w:val="center"/>
          </w:tcPr>
          <w:p w14:paraId="672DA5D0">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8万</w:t>
            </w:r>
          </w:p>
        </w:tc>
      </w:tr>
      <w:tr w14:paraId="5282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5E5AA8">
            <w:pPr>
              <w:jc w:val="center"/>
              <w:rPr>
                <w:rFonts w:hint="default" w:ascii="Times New Roman" w:hAnsi="Times New Roman" w:cs="Times New Roman"/>
                <w:sz w:val="20"/>
              </w:rPr>
            </w:pPr>
          </w:p>
        </w:tc>
        <w:tc>
          <w:tcPr>
            <w:tcW w:w="723" w:type="dxa"/>
            <w:vMerge w:val="continue"/>
            <w:tcBorders>
              <w:tl2br w:val="nil"/>
              <w:tr2bl w:val="nil"/>
            </w:tcBorders>
            <w:vAlign w:val="center"/>
          </w:tcPr>
          <w:p w14:paraId="58959695">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F3AF06E">
            <w:pPr>
              <w:jc w:val="center"/>
              <w:rPr>
                <w:rFonts w:hint="default" w:ascii="Times New Roman" w:hAnsi="Times New Roman" w:cs="Times New Roman"/>
                <w:sz w:val="20"/>
              </w:rPr>
            </w:pPr>
          </w:p>
        </w:tc>
        <w:tc>
          <w:tcPr>
            <w:tcW w:w="2872" w:type="dxa"/>
            <w:tcBorders>
              <w:tl2br w:val="nil"/>
              <w:tr2bl w:val="nil"/>
            </w:tcBorders>
            <w:vAlign w:val="center"/>
          </w:tcPr>
          <w:p w14:paraId="0F348965">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729FFDAD">
            <w:pPr>
              <w:jc w:val="center"/>
              <w:rPr>
                <w:rFonts w:hint="default" w:ascii="Times New Roman" w:hAnsi="Times New Roman" w:cs="Times New Roman"/>
                <w:sz w:val="20"/>
              </w:rPr>
            </w:pPr>
          </w:p>
        </w:tc>
      </w:tr>
      <w:tr w14:paraId="4C74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17DCA8">
            <w:pPr>
              <w:jc w:val="center"/>
              <w:rPr>
                <w:rFonts w:hint="default" w:ascii="Times New Roman" w:hAnsi="Times New Roman" w:cs="Times New Roman"/>
                <w:sz w:val="20"/>
              </w:rPr>
            </w:pPr>
          </w:p>
        </w:tc>
        <w:tc>
          <w:tcPr>
            <w:tcW w:w="723" w:type="dxa"/>
            <w:vMerge w:val="continue"/>
            <w:tcBorders>
              <w:tl2br w:val="nil"/>
              <w:tr2bl w:val="nil"/>
            </w:tcBorders>
            <w:vAlign w:val="center"/>
          </w:tcPr>
          <w:p w14:paraId="7032007F">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005F348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4D5E059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新办公地点设备质量</w:t>
            </w:r>
          </w:p>
        </w:tc>
        <w:tc>
          <w:tcPr>
            <w:tcW w:w="4228" w:type="dxa"/>
            <w:gridSpan w:val="2"/>
            <w:tcBorders>
              <w:tl2br w:val="nil"/>
              <w:tr2bl w:val="nil"/>
            </w:tcBorders>
            <w:vAlign w:val="center"/>
          </w:tcPr>
          <w:p w14:paraId="12ACCE0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高质量</w:t>
            </w:r>
          </w:p>
        </w:tc>
      </w:tr>
      <w:tr w14:paraId="6A8F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01C30D">
            <w:pPr>
              <w:jc w:val="center"/>
              <w:rPr>
                <w:rFonts w:hint="default" w:ascii="Times New Roman" w:hAnsi="Times New Roman" w:cs="Times New Roman"/>
                <w:sz w:val="20"/>
              </w:rPr>
            </w:pPr>
          </w:p>
        </w:tc>
        <w:tc>
          <w:tcPr>
            <w:tcW w:w="723" w:type="dxa"/>
            <w:vMerge w:val="continue"/>
            <w:tcBorders>
              <w:tl2br w:val="nil"/>
              <w:tr2bl w:val="nil"/>
            </w:tcBorders>
            <w:vAlign w:val="center"/>
          </w:tcPr>
          <w:p w14:paraId="59717947">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91227C8">
            <w:pPr>
              <w:jc w:val="center"/>
              <w:rPr>
                <w:rFonts w:hint="default" w:ascii="Times New Roman" w:hAnsi="Times New Roman" w:cs="Times New Roman"/>
                <w:sz w:val="20"/>
              </w:rPr>
            </w:pPr>
          </w:p>
        </w:tc>
        <w:tc>
          <w:tcPr>
            <w:tcW w:w="2872" w:type="dxa"/>
            <w:tcBorders>
              <w:tl2br w:val="nil"/>
              <w:tr2bl w:val="nil"/>
            </w:tcBorders>
            <w:vAlign w:val="center"/>
          </w:tcPr>
          <w:p w14:paraId="52A5AEE5">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5F673B63">
            <w:pPr>
              <w:jc w:val="center"/>
              <w:rPr>
                <w:rFonts w:hint="default" w:ascii="Times New Roman" w:hAnsi="Times New Roman" w:cs="Times New Roman"/>
                <w:sz w:val="20"/>
              </w:rPr>
            </w:pPr>
          </w:p>
        </w:tc>
      </w:tr>
      <w:tr w14:paraId="25ED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4E023C">
            <w:pPr>
              <w:jc w:val="center"/>
              <w:rPr>
                <w:rFonts w:hint="default" w:ascii="Times New Roman" w:hAnsi="Times New Roman" w:cs="Times New Roman"/>
                <w:sz w:val="20"/>
              </w:rPr>
            </w:pPr>
          </w:p>
        </w:tc>
        <w:tc>
          <w:tcPr>
            <w:tcW w:w="723" w:type="dxa"/>
            <w:vMerge w:val="continue"/>
            <w:tcBorders>
              <w:tl2br w:val="nil"/>
              <w:tr2bl w:val="nil"/>
            </w:tcBorders>
            <w:vAlign w:val="center"/>
          </w:tcPr>
          <w:p w14:paraId="4FF72938">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766D259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42F57DB0">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搬迁及时性</w:t>
            </w:r>
          </w:p>
        </w:tc>
        <w:tc>
          <w:tcPr>
            <w:tcW w:w="4228" w:type="dxa"/>
            <w:gridSpan w:val="2"/>
            <w:tcBorders>
              <w:tl2br w:val="nil"/>
              <w:tr2bl w:val="nil"/>
            </w:tcBorders>
            <w:vAlign w:val="center"/>
          </w:tcPr>
          <w:p w14:paraId="0C976E8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按时搬迁</w:t>
            </w:r>
          </w:p>
        </w:tc>
      </w:tr>
      <w:tr w14:paraId="55CA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19A944">
            <w:pPr>
              <w:jc w:val="center"/>
              <w:rPr>
                <w:rFonts w:hint="default" w:ascii="Times New Roman" w:hAnsi="Times New Roman" w:cs="Times New Roman"/>
                <w:sz w:val="20"/>
              </w:rPr>
            </w:pPr>
          </w:p>
        </w:tc>
        <w:tc>
          <w:tcPr>
            <w:tcW w:w="723" w:type="dxa"/>
            <w:vMerge w:val="continue"/>
            <w:tcBorders>
              <w:tl2br w:val="nil"/>
              <w:tr2bl w:val="nil"/>
            </w:tcBorders>
            <w:vAlign w:val="center"/>
          </w:tcPr>
          <w:p w14:paraId="23D822FA">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3DB77D8">
            <w:pPr>
              <w:jc w:val="center"/>
              <w:rPr>
                <w:rFonts w:hint="default" w:ascii="Times New Roman" w:hAnsi="Times New Roman" w:cs="Times New Roman"/>
                <w:sz w:val="20"/>
              </w:rPr>
            </w:pPr>
          </w:p>
        </w:tc>
        <w:tc>
          <w:tcPr>
            <w:tcW w:w="2872" w:type="dxa"/>
            <w:tcBorders>
              <w:tl2br w:val="nil"/>
              <w:tr2bl w:val="nil"/>
            </w:tcBorders>
            <w:vAlign w:val="center"/>
          </w:tcPr>
          <w:p w14:paraId="4D70F0AA">
            <w:pPr>
              <w:widowControl/>
              <w:jc w:val="left"/>
              <w:textAlignment w:val="center"/>
              <w:rPr>
                <w:rFonts w:hint="default" w:ascii="Times New Roman" w:hAnsi="Times New Roman" w:eastAsia="汉仪中秀体简" w:cs="Times New Roman"/>
                <w:sz w:val="20"/>
                <w:lang w:eastAsia="zh-CN"/>
              </w:rPr>
            </w:pPr>
            <w:r>
              <w:rPr>
                <w:rFonts w:hint="default" w:ascii="Times New Roman" w:hAnsi="Times New Roman" w:eastAsia="汉仪中秀体简" w:cs="Times New Roman"/>
                <w:color w:val="000000"/>
                <w:kern w:val="0"/>
                <w:sz w:val="20"/>
                <w:szCs w:val="20"/>
              </w:rPr>
              <w:t>…</w:t>
            </w:r>
            <w:r>
              <w:rPr>
                <w:rFonts w:hint="default" w:ascii="Times New Roman" w:hAnsi="Times New Roman" w:eastAsia="宋体" w:cs="Times New Roman"/>
                <w:color w:val="000000"/>
                <w:kern w:val="0"/>
                <w:sz w:val="20"/>
                <w:szCs w:val="20"/>
                <w:lang w:eastAsia="zh-CN"/>
              </w:rPr>
              <w:t>资金支付及时性</w:t>
            </w:r>
          </w:p>
        </w:tc>
        <w:tc>
          <w:tcPr>
            <w:tcW w:w="4228" w:type="dxa"/>
            <w:gridSpan w:val="2"/>
            <w:tcBorders>
              <w:tl2br w:val="nil"/>
              <w:tr2bl w:val="nil"/>
            </w:tcBorders>
            <w:vAlign w:val="center"/>
          </w:tcPr>
          <w:p w14:paraId="12E6067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及时支付</w:t>
            </w:r>
          </w:p>
        </w:tc>
      </w:tr>
      <w:tr w14:paraId="1BF7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94B7C8">
            <w:pPr>
              <w:jc w:val="center"/>
              <w:rPr>
                <w:rFonts w:hint="default" w:ascii="Times New Roman" w:hAnsi="Times New Roman" w:cs="Times New Roman"/>
                <w:sz w:val="20"/>
              </w:rPr>
            </w:pPr>
          </w:p>
        </w:tc>
        <w:tc>
          <w:tcPr>
            <w:tcW w:w="723" w:type="dxa"/>
            <w:vMerge w:val="continue"/>
            <w:tcBorders>
              <w:tl2br w:val="nil"/>
              <w:tr2bl w:val="nil"/>
            </w:tcBorders>
            <w:vAlign w:val="center"/>
          </w:tcPr>
          <w:p w14:paraId="26A4052C">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23AD48B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24507CD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节约性</w:t>
            </w:r>
          </w:p>
        </w:tc>
        <w:tc>
          <w:tcPr>
            <w:tcW w:w="4228" w:type="dxa"/>
            <w:gridSpan w:val="2"/>
            <w:tcBorders>
              <w:tl2br w:val="nil"/>
              <w:tr2bl w:val="nil"/>
            </w:tcBorders>
            <w:vAlign w:val="center"/>
          </w:tcPr>
          <w:p w14:paraId="5639C312">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厉行节约</w:t>
            </w:r>
          </w:p>
        </w:tc>
      </w:tr>
      <w:tr w14:paraId="204E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7B0C9C">
            <w:pPr>
              <w:jc w:val="center"/>
              <w:rPr>
                <w:rFonts w:hint="default" w:ascii="Times New Roman" w:hAnsi="Times New Roman" w:cs="Times New Roman"/>
                <w:sz w:val="20"/>
              </w:rPr>
            </w:pPr>
          </w:p>
        </w:tc>
        <w:tc>
          <w:tcPr>
            <w:tcW w:w="723" w:type="dxa"/>
            <w:vMerge w:val="continue"/>
            <w:tcBorders>
              <w:tl2br w:val="nil"/>
              <w:tr2bl w:val="nil"/>
            </w:tcBorders>
            <w:vAlign w:val="center"/>
          </w:tcPr>
          <w:p w14:paraId="32440B70">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42EFF7D">
            <w:pPr>
              <w:jc w:val="center"/>
              <w:rPr>
                <w:rFonts w:hint="default" w:ascii="Times New Roman" w:hAnsi="Times New Roman" w:cs="Times New Roman"/>
                <w:sz w:val="20"/>
              </w:rPr>
            </w:pPr>
          </w:p>
        </w:tc>
        <w:tc>
          <w:tcPr>
            <w:tcW w:w="2872" w:type="dxa"/>
            <w:tcBorders>
              <w:tl2br w:val="nil"/>
              <w:tr2bl w:val="nil"/>
            </w:tcBorders>
            <w:vAlign w:val="center"/>
          </w:tcPr>
          <w:p w14:paraId="09B23889">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09AFB5FB">
            <w:pPr>
              <w:jc w:val="center"/>
              <w:rPr>
                <w:rFonts w:hint="default" w:ascii="Times New Roman" w:hAnsi="Times New Roman" w:cs="Times New Roman"/>
                <w:sz w:val="20"/>
              </w:rPr>
            </w:pPr>
          </w:p>
        </w:tc>
      </w:tr>
      <w:tr w14:paraId="5090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00A2F0">
            <w:pPr>
              <w:jc w:val="center"/>
              <w:rPr>
                <w:rFonts w:hint="default" w:ascii="Times New Roman" w:hAnsi="Times New Roman" w:cs="Times New Roman"/>
                <w:sz w:val="20"/>
              </w:rPr>
            </w:pPr>
          </w:p>
        </w:tc>
        <w:tc>
          <w:tcPr>
            <w:tcW w:w="723" w:type="dxa"/>
            <w:vMerge w:val="continue"/>
            <w:tcBorders>
              <w:tl2br w:val="nil"/>
              <w:tr2bl w:val="nil"/>
            </w:tcBorders>
            <w:vAlign w:val="center"/>
          </w:tcPr>
          <w:p w14:paraId="3BCB623B">
            <w:pPr>
              <w:jc w:val="center"/>
              <w:rPr>
                <w:rFonts w:hint="default" w:ascii="Times New Roman" w:hAnsi="Times New Roman" w:cs="Times New Roman"/>
                <w:sz w:val="20"/>
              </w:rPr>
            </w:pPr>
          </w:p>
        </w:tc>
        <w:tc>
          <w:tcPr>
            <w:tcW w:w="759" w:type="dxa"/>
            <w:gridSpan w:val="2"/>
            <w:tcBorders>
              <w:tl2br w:val="nil"/>
              <w:tr2bl w:val="nil"/>
            </w:tcBorders>
            <w:vAlign w:val="center"/>
          </w:tcPr>
          <w:p w14:paraId="63709DE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w:t>
            </w:r>
          </w:p>
        </w:tc>
        <w:tc>
          <w:tcPr>
            <w:tcW w:w="2872" w:type="dxa"/>
            <w:tcBorders>
              <w:tl2br w:val="nil"/>
              <w:tr2bl w:val="nil"/>
            </w:tcBorders>
            <w:vAlign w:val="center"/>
          </w:tcPr>
          <w:p w14:paraId="2055F566">
            <w:pPr>
              <w:jc w:val="left"/>
              <w:rPr>
                <w:rFonts w:hint="default" w:ascii="Times New Roman" w:hAnsi="Times New Roman" w:cs="Times New Roman"/>
                <w:sz w:val="20"/>
              </w:rPr>
            </w:pPr>
          </w:p>
        </w:tc>
        <w:tc>
          <w:tcPr>
            <w:tcW w:w="4228" w:type="dxa"/>
            <w:gridSpan w:val="2"/>
            <w:tcBorders>
              <w:tl2br w:val="nil"/>
              <w:tr2bl w:val="nil"/>
            </w:tcBorders>
            <w:vAlign w:val="center"/>
          </w:tcPr>
          <w:p w14:paraId="56559780">
            <w:pPr>
              <w:jc w:val="center"/>
              <w:rPr>
                <w:rFonts w:hint="default" w:ascii="Times New Roman" w:hAnsi="Times New Roman" w:cs="Times New Roman"/>
                <w:sz w:val="20"/>
              </w:rPr>
            </w:pPr>
          </w:p>
        </w:tc>
      </w:tr>
      <w:tr w14:paraId="1EC2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20D7C7">
            <w:pPr>
              <w:jc w:val="center"/>
              <w:rPr>
                <w:rFonts w:hint="default" w:ascii="Times New Roman" w:hAnsi="Times New Roman" w:cs="Times New Roman"/>
                <w:sz w:val="20"/>
              </w:rPr>
            </w:pPr>
          </w:p>
        </w:tc>
        <w:tc>
          <w:tcPr>
            <w:tcW w:w="723" w:type="dxa"/>
            <w:vMerge w:val="restart"/>
            <w:tcBorders>
              <w:tl2br w:val="nil"/>
              <w:tr2bl w:val="nil"/>
            </w:tcBorders>
            <w:vAlign w:val="center"/>
          </w:tcPr>
          <w:p w14:paraId="383EF57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vMerge w:val="restart"/>
            <w:tcBorders>
              <w:tl2br w:val="nil"/>
              <w:tr2bl w:val="nil"/>
            </w:tcBorders>
            <w:vAlign w:val="center"/>
          </w:tcPr>
          <w:p w14:paraId="06CD30D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3DFFF00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经济效益</w:t>
            </w:r>
          </w:p>
        </w:tc>
        <w:tc>
          <w:tcPr>
            <w:tcW w:w="4228" w:type="dxa"/>
            <w:gridSpan w:val="2"/>
            <w:tcBorders>
              <w:tl2br w:val="nil"/>
              <w:tr2bl w:val="nil"/>
            </w:tcBorders>
            <w:vAlign w:val="center"/>
          </w:tcPr>
          <w:p w14:paraId="61F84FA7">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带动经济发展</w:t>
            </w:r>
          </w:p>
        </w:tc>
      </w:tr>
      <w:tr w14:paraId="1656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EAFA92">
            <w:pPr>
              <w:jc w:val="center"/>
              <w:rPr>
                <w:rFonts w:hint="default" w:ascii="Times New Roman" w:hAnsi="Times New Roman" w:cs="Times New Roman"/>
                <w:sz w:val="20"/>
              </w:rPr>
            </w:pPr>
          </w:p>
        </w:tc>
        <w:tc>
          <w:tcPr>
            <w:tcW w:w="723" w:type="dxa"/>
            <w:vMerge w:val="continue"/>
            <w:tcBorders>
              <w:tl2br w:val="nil"/>
              <w:tr2bl w:val="nil"/>
            </w:tcBorders>
            <w:vAlign w:val="center"/>
          </w:tcPr>
          <w:p w14:paraId="0E93ACEE">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D81A1FE">
            <w:pPr>
              <w:jc w:val="center"/>
              <w:rPr>
                <w:rFonts w:hint="default" w:ascii="Times New Roman" w:hAnsi="Times New Roman" w:cs="Times New Roman"/>
                <w:sz w:val="20"/>
              </w:rPr>
            </w:pPr>
          </w:p>
        </w:tc>
        <w:tc>
          <w:tcPr>
            <w:tcW w:w="2872" w:type="dxa"/>
            <w:tcBorders>
              <w:tl2br w:val="nil"/>
              <w:tr2bl w:val="nil"/>
            </w:tcBorders>
            <w:vAlign w:val="center"/>
          </w:tcPr>
          <w:p w14:paraId="21A5B389">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0666C561">
            <w:pPr>
              <w:jc w:val="center"/>
              <w:rPr>
                <w:rFonts w:hint="default" w:ascii="Times New Roman" w:hAnsi="Times New Roman" w:cs="Times New Roman"/>
                <w:sz w:val="20"/>
              </w:rPr>
            </w:pPr>
          </w:p>
        </w:tc>
      </w:tr>
      <w:tr w14:paraId="1882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BF0E6C">
            <w:pPr>
              <w:jc w:val="center"/>
              <w:rPr>
                <w:rFonts w:hint="default" w:ascii="Times New Roman" w:hAnsi="Times New Roman" w:cs="Times New Roman"/>
                <w:sz w:val="20"/>
              </w:rPr>
            </w:pPr>
          </w:p>
        </w:tc>
        <w:tc>
          <w:tcPr>
            <w:tcW w:w="723" w:type="dxa"/>
            <w:vMerge w:val="continue"/>
            <w:tcBorders>
              <w:tl2br w:val="nil"/>
              <w:tr2bl w:val="nil"/>
            </w:tcBorders>
            <w:vAlign w:val="center"/>
          </w:tcPr>
          <w:p w14:paraId="5EF36B77">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38346AE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531654D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社会效益</w:t>
            </w:r>
          </w:p>
        </w:tc>
        <w:tc>
          <w:tcPr>
            <w:tcW w:w="4228" w:type="dxa"/>
            <w:gridSpan w:val="2"/>
            <w:tcBorders>
              <w:tl2br w:val="nil"/>
              <w:tr2bl w:val="nil"/>
            </w:tcBorders>
            <w:vAlign w:val="center"/>
          </w:tcPr>
          <w:p w14:paraId="2BDCCDCD">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促进社会稳定</w:t>
            </w:r>
          </w:p>
        </w:tc>
      </w:tr>
      <w:tr w14:paraId="49EC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007B77">
            <w:pPr>
              <w:jc w:val="center"/>
              <w:rPr>
                <w:rFonts w:hint="default" w:ascii="Times New Roman" w:hAnsi="Times New Roman" w:cs="Times New Roman"/>
                <w:sz w:val="20"/>
              </w:rPr>
            </w:pPr>
          </w:p>
        </w:tc>
        <w:tc>
          <w:tcPr>
            <w:tcW w:w="723" w:type="dxa"/>
            <w:vMerge w:val="continue"/>
            <w:tcBorders>
              <w:tl2br w:val="nil"/>
              <w:tr2bl w:val="nil"/>
            </w:tcBorders>
            <w:vAlign w:val="center"/>
          </w:tcPr>
          <w:p w14:paraId="6DF51927">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75C327D">
            <w:pPr>
              <w:jc w:val="center"/>
              <w:rPr>
                <w:rFonts w:hint="default" w:ascii="Times New Roman" w:hAnsi="Times New Roman" w:cs="Times New Roman"/>
                <w:sz w:val="20"/>
              </w:rPr>
            </w:pPr>
          </w:p>
        </w:tc>
        <w:tc>
          <w:tcPr>
            <w:tcW w:w="2872" w:type="dxa"/>
            <w:tcBorders>
              <w:tl2br w:val="nil"/>
              <w:tr2bl w:val="nil"/>
            </w:tcBorders>
            <w:vAlign w:val="center"/>
          </w:tcPr>
          <w:p w14:paraId="3EB46801">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7854B357">
            <w:pPr>
              <w:jc w:val="center"/>
              <w:rPr>
                <w:rFonts w:hint="default" w:ascii="Times New Roman" w:hAnsi="Times New Roman" w:cs="Times New Roman"/>
                <w:sz w:val="20"/>
              </w:rPr>
            </w:pPr>
          </w:p>
        </w:tc>
      </w:tr>
      <w:tr w14:paraId="205D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9A8C16">
            <w:pPr>
              <w:jc w:val="center"/>
              <w:rPr>
                <w:rFonts w:hint="default" w:ascii="Times New Roman" w:hAnsi="Times New Roman" w:cs="Times New Roman"/>
                <w:sz w:val="20"/>
              </w:rPr>
            </w:pPr>
          </w:p>
        </w:tc>
        <w:tc>
          <w:tcPr>
            <w:tcW w:w="723" w:type="dxa"/>
            <w:vMerge w:val="continue"/>
            <w:tcBorders>
              <w:tl2br w:val="nil"/>
              <w:tr2bl w:val="nil"/>
            </w:tcBorders>
            <w:vAlign w:val="center"/>
          </w:tcPr>
          <w:p w14:paraId="27B399F7">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5F62710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5BD4644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生态环保性</w:t>
            </w:r>
          </w:p>
        </w:tc>
        <w:tc>
          <w:tcPr>
            <w:tcW w:w="4228" w:type="dxa"/>
            <w:gridSpan w:val="2"/>
            <w:tcBorders>
              <w:tl2br w:val="nil"/>
              <w:tr2bl w:val="nil"/>
            </w:tcBorders>
            <w:vAlign w:val="center"/>
          </w:tcPr>
          <w:p w14:paraId="1C0A4C42">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促进生态向好</w:t>
            </w:r>
          </w:p>
        </w:tc>
      </w:tr>
      <w:tr w14:paraId="44B1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54CBBB">
            <w:pPr>
              <w:jc w:val="center"/>
              <w:rPr>
                <w:rFonts w:hint="default" w:ascii="Times New Roman" w:hAnsi="Times New Roman" w:cs="Times New Roman"/>
                <w:sz w:val="20"/>
              </w:rPr>
            </w:pPr>
          </w:p>
        </w:tc>
        <w:tc>
          <w:tcPr>
            <w:tcW w:w="723" w:type="dxa"/>
            <w:vMerge w:val="continue"/>
            <w:tcBorders>
              <w:tl2br w:val="nil"/>
              <w:tr2bl w:val="nil"/>
            </w:tcBorders>
            <w:vAlign w:val="center"/>
          </w:tcPr>
          <w:p w14:paraId="215FC1CA">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0D62FFA">
            <w:pPr>
              <w:jc w:val="center"/>
              <w:rPr>
                <w:rFonts w:hint="default" w:ascii="Times New Roman" w:hAnsi="Times New Roman" w:cs="Times New Roman"/>
                <w:sz w:val="20"/>
              </w:rPr>
            </w:pPr>
          </w:p>
        </w:tc>
        <w:tc>
          <w:tcPr>
            <w:tcW w:w="2872" w:type="dxa"/>
            <w:tcBorders>
              <w:tl2br w:val="nil"/>
              <w:tr2bl w:val="nil"/>
            </w:tcBorders>
            <w:vAlign w:val="center"/>
          </w:tcPr>
          <w:p w14:paraId="7004EAA2">
            <w:pPr>
              <w:widowControl/>
              <w:jc w:val="left"/>
              <w:textAlignment w:val="center"/>
              <w:rPr>
                <w:rFonts w:hint="default" w:ascii="Times New Roman" w:hAnsi="Times New Roman" w:eastAsia="汉仪中秀体简" w:cs="Times New Roman"/>
                <w:color w:val="000000"/>
                <w:kern w:val="0"/>
                <w:sz w:val="20"/>
                <w:szCs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345A310C">
            <w:pPr>
              <w:widowControl/>
              <w:jc w:val="left"/>
              <w:textAlignment w:val="center"/>
              <w:rPr>
                <w:rFonts w:hint="default" w:ascii="Times New Roman" w:hAnsi="Times New Roman" w:eastAsia="汉仪中秀体简" w:cs="Times New Roman"/>
                <w:color w:val="000000"/>
                <w:kern w:val="0"/>
                <w:sz w:val="20"/>
                <w:szCs w:val="20"/>
              </w:rPr>
            </w:pPr>
          </w:p>
        </w:tc>
      </w:tr>
      <w:tr w14:paraId="74E7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DB70CAA">
            <w:pPr>
              <w:jc w:val="center"/>
              <w:rPr>
                <w:rFonts w:hint="default" w:ascii="Times New Roman" w:hAnsi="Times New Roman" w:cs="Times New Roman"/>
                <w:sz w:val="20"/>
              </w:rPr>
            </w:pPr>
          </w:p>
        </w:tc>
        <w:tc>
          <w:tcPr>
            <w:tcW w:w="723" w:type="dxa"/>
            <w:vMerge w:val="continue"/>
            <w:tcBorders>
              <w:tl2br w:val="nil"/>
              <w:tr2bl w:val="nil"/>
            </w:tcBorders>
            <w:vAlign w:val="center"/>
          </w:tcPr>
          <w:p w14:paraId="165E6060">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4D7B3179">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72F9E35C">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可持续性</w:t>
            </w:r>
          </w:p>
        </w:tc>
        <w:tc>
          <w:tcPr>
            <w:tcW w:w="4228" w:type="dxa"/>
            <w:gridSpan w:val="2"/>
            <w:tcBorders>
              <w:tl2br w:val="nil"/>
              <w:tr2bl w:val="nil"/>
            </w:tcBorders>
            <w:vAlign w:val="center"/>
          </w:tcPr>
          <w:p w14:paraId="4C08DA6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促进社会可持续发展</w:t>
            </w:r>
          </w:p>
        </w:tc>
      </w:tr>
      <w:tr w14:paraId="6686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7CFC374F">
            <w:pPr>
              <w:jc w:val="center"/>
              <w:rPr>
                <w:rFonts w:hint="default" w:ascii="Times New Roman" w:hAnsi="Times New Roman" w:cs="Times New Roman"/>
                <w:sz w:val="20"/>
              </w:rPr>
            </w:pPr>
          </w:p>
        </w:tc>
        <w:tc>
          <w:tcPr>
            <w:tcW w:w="723" w:type="dxa"/>
            <w:vMerge w:val="continue"/>
            <w:tcBorders>
              <w:tl2br w:val="nil"/>
              <w:tr2bl w:val="nil"/>
            </w:tcBorders>
            <w:vAlign w:val="center"/>
          </w:tcPr>
          <w:p w14:paraId="1BFE5CD1">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0F3C094">
            <w:pPr>
              <w:jc w:val="center"/>
              <w:rPr>
                <w:rFonts w:hint="default" w:ascii="Times New Roman" w:hAnsi="Times New Roman" w:eastAsia="宋体" w:cs="Times New Roman"/>
                <w:sz w:val="20"/>
              </w:rPr>
            </w:pPr>
          </w:p>
        </w:tc>
        <w:tc>
          <w:tcPr>
            <w:tcW w:w="2872" w:type="dxa"/>
            <w:tcBorders>
              <w:tl2br w:val="nil"/>
              <w:tr2bl w:val="nil"/>
            </w:tcBorders>
            <w:vAlign w:val="center"/>
          </w:tcPr>
          <w:p w14:paraId="1D268131">
            <w:pPr>
              <w:widowControl/>
              <w:jc w:val="lef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w:t>
            </w:r>
          </w:p>
        </w:tc>
        <w:tc>
          <w:tcPr>
            <w:tcW w:w="4228" w:type="dxa"/>
            <w:gridSpan w:val="2"/>
            <w:tcBorders>
              <w:tl2br w:val="nil"/>
              <w:tr2bl w:val="nil"/>
            </w:tcBorders>
            <w:vAlign w:val="center"/>
          </w:tcPr>
          <w:p w14:paraId="47EEC29D">
            <w:pPr>
              <w:jc w:val="center"/>
              <w:rPr>
                <w:rFonts w:hint="default" w:ascii="Times New Roman" w:hAnsi="Times New Roman" w:cs="Times New Roman"/>
                <w:sz w:val="20"/>
              </w:rPr>
            </w:pPr>
          </w:p>
        </w:tc>
      </w:tr>
      <w:tr w14:paraId="4E38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2D9380">
            <w:pPr>
              <w:jc w:val="center"/>
              <w:rPr>
                <w:rFonts w:hint="default" w:ascii="Times New Roman" w:hAnsi="Times New Roman" w:cs="Times New Roman"/>
                <w:sz w:val="20"/>
              </w:rPr>
            </w:pPr>
          </w:p>
        </w:tc>
        <w:tc>
          <w:tcPr>
            <w:tcW w:w="723" w:type="dxa"/>
            <w:vMerge w:val="continue"/>
            <w:tcBorders>
              <w:tl2br w:val="nil"/>
              <w:tr2bl w:val="nil"/>
            </w:tcBorders>
            <w:vAlign w:val="center"/>
          </w:tcPr>
          <w:p w14:paraId="49E068D8">
            <w:pPr>
              <w:jc w:val="center"/>
              <w:rPr>
                <w:rFonts w:hint="default" w:ascii="Times New Roman" w:hAnsi="Times New Roman" w:cs="Times New Roman"/>
                <w:sz w:val="20"/>
              </w:rPr>
            </w:pPr>
          </w:p>
        </w:tc>
        <w:tc>
          <w:tcPr>
            <w:tcW w:w="759" w:type="dxa"/>
            <w:gridSpan w:val="2"/>
            <w:tcBorders>
              <w:tl2br w:val="nil"/>
              <w:tr2bl w:val="nil"/>
            </w:tcBorders>
            <w:vAlign w:val="center"/>
          </w:tcPr>
          <w:p w14:paraId="3B9C588D">
            <w:pPr>
              <w:jc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w:t>
            </w:r>
          </w:p>
        </w:tc>
        <w:tc>
          <w:tcPr>
            <w:tcW w:w="2872" w:type="dxa"/>
            <w:tcBorders>
              <w:tl2br w:val="nil"/>
              <w:tr2bl w:val="nil"/>
            </w:tcBorders>
            <w:vAlign w:val="center"/>
          </w:tcPr>
          <w:p w14:paraId="52570BF1">
            <w:pPr>
              <w:widowControl/>
              <w:jc w:val="left"/>
              <w:textAlignment w:val="center"/>
              <w:rPr>
                <w:rFonts w:hint="default" w:ascii="Times New Roman" w:hAnsi="Times New Roman" w:eastAsia="宋体" w:cs="Times New Roman"/>
                <w:color w:val="000000"/>
                <w:kern w:val="0"/>
                <w:sz w:val="20"/>
                <w:szCs w:val="20"/>
              </w:rPr>
            </w:pPr>
          </w:p>
        </w:tc>
        <w:tc>
          <w:tcPr>
            <w:tcW w:w="4228" w:type="dxa"/>
            <w:gridSpan w:val="2"/>
            <w:tcBorders>
              <w:tl2br w:val="nil"/>
              <w:tr2bl w:val="nil"/>
            </w:tcBorders>
            <w:vAlign w:val="center"/>
          </w:tcPr>
          <w:p w14:paraId="0D38ED25">
            <w:pPr>
              <w:jc w:val="center"/>
              <w:rPr>
                <w:rFonts w:hint="default" w:ascii="Times New Roman" w:hAnsi="Times New Roman" w:cs="Times New Roman"/>
                <w:sz w:val="20"/>
              </w:rPr>
            </w:pPr>
          </w:p>
        </w:tc>
      </w:tr>
      <w:tr w14:paraId="3680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D85AFA">
            <w:pPr>
              <w:jc w:val="center"/>
              <w:rPr>
                <w:rFonts w:hint="default" w:ascii="Times New Roman" w:hAnsi="Times New Roman" w:cs="Times New Roman"/>
                <w:sz w:val="20"/>
              </w:rPr>
            </w:pPr>
          </w:p>
        </w:tc>
        <w:tc>
          <w:tcPr>
            <w:tcW w:w="723" w:type="dxa"/>
            <w:vMerge w:val="restart"/>
            <w:tcBorders>
              <w:tl2br w:val="nil"/>
              <w:tr2bl w:val="nil"/>
            </w:tcBorders>
            <w:vAlign w:val="center"/>
          </w:tcPr>
          <w:p w14:paraId="55C35F6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vMerge w:val="restart"/>
            <w:tcBorders>
              <w:tl2br w:val="nil"/>
              <w:tr2bl w:val="nil"/>
            </w:tcBorders>
            <w:vAlign w:val="center"/>
          </w:tcPr>
          <w:p w14:paraId="6F2BCA97">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7D1442A9">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340CB53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r w14:paraId="37DA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84A6DA">
            <w:pPr>
              <w:jc w:val="center"/>
              <w:rPr>
                <w:rFonts w:hint="default" w:ascii="Times New Roman" w:hAnsi="Times New Roman" w:cs="Times New Roman"/>
                <w:sz w:val="20"/>
              </w:rPr>
            </w:pPr>
          </w:p>
        </w:tc>
        <w:tc>
          <w:tcPr>
            <w:tcW w:w="723" w:type="dxa"/>
            <w:vMerge w:val="continue"/>
            <w:tcBorders>
              <w:tl2br w:val="nil"/>
              <w:tr2bl w:val="nil"/>
            </w:tcBorders>
            <w:vAlign w:val="center"/>
          </w:tcPr>
          <w:p w14:paraId="1709C7AA">
            <w:pPr>
              <w:jc w:val="center"/>
              <w:rPr>
                <w:rFonts w:hint="default" w:ascii="Times New Roman" w:hAnsi="Times New Roman" w:eastAsia="宋体" w:cs="Times New Roman"/>
                <w:sz w:val="20"/>
              </w:rPr>
            </w:pPr>
          </w:p>
        </w:tc>
        <w:tc>
          <w:tcPr>
            <w:tcW w:w="759" w:type="dxa"/>
            <w:gridSpan w:val="2"/>
            <w:vMerge w:val="continue"/>
            <w:tcBorders>
              <w:tl2br w:val="nil"/>
              <w:tr2bl w:val="nil"/>
            </w:tcBorders>
            <w:vAlign w:val="center"/>
          </w:tcPr>
          <w:p w14:paraId="55BDCEF3">
            <w:pPr>
              <w:jc w:val="center"/>
              <w:rPr>
                <w:rFonts w:hint="default" w:ascii="Times New Roman" w:hAnsi="Times New Roman" w:eastAsia="宋体" w:cs="Times New Roman"/>
                <w:sz w:val="20"/>
              </w:rPr>
            </w:pPr>
          </w:p>
        </w:tc>
        <w:tc>
          <w:tcPr>
            <w:tcW w:w="2872" w:type="dxa"/>
            <w:tcBorders>
              <w:tl2br w:val="nil"/>
              <w:tr2bl w:val="nil"/>
            </w:tcBorders>
            <w:vAlign w:val="center"/>
          </w:tcPr>
          <w:p w14:paraId="5F790F2B">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w:t>
            </w:r>
          </w:p>
        </w:tc>
        <w:tc>
          <w:tcPr>
            <w:tcW w:w="4228" w:type="dxa"/>
            <w:gridSpan w:val="2"/>
            <w:tcBorders>
              <w:tl2br w:val="nil"/>
              <w:tr2bl w:val="nil"/>
            </w:tcBorders>
            <w:vAlign w:val="center"/>
          </w:tcPr>
          <w:p w14:paraId="10C07FC0">
            <w:pPr>
              <w:jc w:val="center"/>
              <w:rPr>
                <w:rFonts w:hint="default" w:ascii="Times New Roman" w:hAnsi="Times New Roman" w:cs="Times New Roman"/>
                <w:sz w:val="20"/>
              </w:rPr>
            </w:pPr>
          </w:p>
        </w:tc>
      </w:tr>
    </w:tbl>
    <w:p w14:paraId="4C6473A8">
      <w:pPr>
        <w:rPr>
          <w:rFonts w:hint="default" w:ascii="Times New Roman" w:hAnsi="Times New Roman" w:cs="Times New Roman"/>
        </w:rPr>
      </w:pPr>
    </w:p>
    <w:p w14:paraId="3390E7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信息宣传经费</w:t>
      </w:r>
      <w:r>
        <w:rPr>
          <w:rFonts w:hint="default" w:ascii="Times New Roman" w:hAnsi="Times New Roman" w:eastAsia="仿宋_GB2312" w:cs="Times New Roman"/>
          <w:kern w:val="0"/>
          <w:sz w:val="32"/>
          <w:szCs w:val="32"/>
        </w:rPr>
        <w:t>”项目。</w:t>
      </w:r>
    </w:p>
    <w:p w14:paraId="01DF7E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制作英文版招商宣传片</w:t>
      </w:r>
    </w:p>
    <w:p w14:paraId="2EDE9F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为保障市领导出国招商考察要求，制作英文版招商宣传片</w:t>
      </w:r>
    </w:p>
    <w:p w14:paraId="00BCE3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淮北市投资促进中心</w:t>
      </w:r>
    </w:p>
    <w:p w14:paraId="2DE191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2024年1月至12月</w:t>
      </w:r>
    </w:p>
    <w:p w14:paraId="5D577E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英文版招商宣传片制作费</w:t>
      </w:r>
    </w:p>
    <w:p w14:paraId="04A4DC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10万</w:t>
      </w:r>
    </w:p>
    <w:p w14:paraId="2654F9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23E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C82DB39">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4880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B8A101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（2024年度）                                </w:t>
            </w:r>
          </w:p>
        </w:tc>
      </w:tr>
      <w:tr w14:paraId="2E9B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0C3782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43BB467">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信息宣传经费</w:t>
            </w:r>
          </w:p>
        </w:tc>
      </w:tr>
      <w:tr w14:paraId="516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5B589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59566CAF">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015</w:t>
            </w:r>
          </w:p>
        </w:tc>
        <w:tc>
          <w:tcPr>
            <w:tcW w:w="1848" w:type="dxa"/>
            <w:tcBorders>
              <w:tl2br w:val="nil"/>
              <w:tr2bl w:val="nil"/>
            </w:tcBorders>
            <w:vAlign w:val="center"/>
          </w:tcPr>
          <w:p w14:paraId="70183379">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55705736">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淮北市投资促进中心</w:t>
            </w:r>
          </w:p>
        </w:tc>
      </w:tr>
      <w:tr w14:paraId="2029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3F0553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5EBFCEE2">
            <w:pPr>
              <w:jc w:val="center"/>
              <w:rPr>
                <w:rFonts w:hint="default" w:ascii="Times New Roman" w:hAnsi="Times New Roman" w:cs="Times New Roman"/>
                <w:sz w:val="20"/>
              </w:rPr>
            </w:pPr>
          </w:p>
        </w:tc>
        <w:tc>
          <w:tcPr>
            <w:tcW w:w="1848" w:type="dxa"/>
            <w:tcBorders>
              <w:tl2br w:val="nil"/>
              <w:tr2bl w:val="nil"/>
            </w:tcBorders>
            <w:vAlign w:val="center"/>
          </w:tcPr>
          <w:p w14:paraId="236A73F9">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4761A17E">
            <w:pPr>
              <w:jc w:val="center"/>
              <w:rPr>
                <w:rFonts w:hint="default" w:ascii="Times New Roman" w:hAnsi="Times New Roman" w:cs="Times New Roman"/>
              </w:rPr>
            </w:pPr>
          </w:p>
        </w:tc>
      </w:tr>
      <w:tr w14:paraId="553B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F32E36B">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项目资金</w:t>
            </w:r>
          </w:p>
          <w:p w14:paraId="2E69777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0C306CA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6C37B7B5">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10万元</w:t>
            </w:r>
          </w:p>
        </w:tc>
      </w:tr>
      <w:tr w14:paraId="2726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086238">
            <w:pPr>
              <w:jc w:val="center"/>
              <w:rPr>
                <w:rFonts w:hint="default" w:ascii="Times New Roman" w:hAnsi="Times New Roman" w:cs="Times New Roman"/>
                <w:sz w:val="20"/>
              </w:rPr>
            </w:pPr>
          </w:p>
        </w:tc>
        <w:tc>
          <w:tcPr>
            <w:tcW w:w="3349" w:type="dxa"/>
            <w:gridSpan w:val="2"/>
            <w:tcBorders>
              <w:tl2br w:val="nil"/>
              <w:tr2bl w:val="nil"/>
            </w:tcBorders>
            <w:vAlign w:val="center"/>
          </w:tcPr>
          <w:p w14:paraId="3F6C259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1BE762FC">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10万元</w:t>
            </w:r>
          </w:p>
        </w:tc>
      </w:tr>
      <w:tr w14:paraId="2382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7B34DFD">
            <w:pPr>
              <w:jc w:val="center"/>
              <w:rPr>
                <w:rFonts w:hint="default" w:ascii="Times New Roman" w:hAnsi="Times New Roman" w:cs="Times New Roman"/>
                <w:sz w:val="20"/>
              </w:rPr>
            </w:pPr>
          </w:p>
        </w:tc>
        <w:tc>
          <w:tcPr>
            <w:tcW w:w="3349" w:type="dxa"/>
            <w:gridSpan w:val="2"/>
            <w:tcBorders>
              <w:tl2br w:val="nil"/>
              <w:tr2bl w:val="nil"/>
            </w:tcBorders>
            <w:vAlign w:val="center"/>
          </w:tcPr>
          <w:p w14:paraId="6F0B3EB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13433040">
            <w:pPr>
              <w:jc w:val="center"/>
              <w:rPr>
                <w:rFonts w:hint="default" w:ascii="Times New Roman" w:hAnsi="Times New Roman" w:cs="Times New Roman"/>
                <w:sz w:val="20"/>
              </w:rPr>
            </w:pPr>
          </w:p>
        </w:tc>
      </w:tr>
      <w:tr w14:paraId="1541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8D54A01">
            <w:pPr>
              <w:jc w:val="center"/>
              <w:rPr>
                <w:rFonts w:hint="default" w:ascii="Times New Roman" w:hAnsi="Times New Roman" w:cs="Times New Roman"/>
                <w:sz w:val="20"/>
              </w:rPr>
            </w:pPr>
          </w:p>
        </w:tc>
        <w:tc>
          <w:tcPr>
            <w:tcW w:w="3349" w:type="dxa"/>
            <w:gridSpan w:val="2"/>
            <w:tcBorders>
              <w:tl2br w:val="nil"/>
              <w:tr2bl w:val="nil"/>
            </w:tcBorders>
            <w:vAlign w:val="center"/>
          </w:tcPr>
          <w:p w14:paraId="49C525C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0751814A">
            <w:pPr>
              <w:jc w:val="right"/>
              <w:rPr>
                <w:rFonts w:hint="default" w:ascii="Times New Roman" w:hAnsi="Times New Roman" w:cs="Times New Roman"/>
                <w:sz w:val="20"/>
              </w:rPr>
            </w:pPr>
          </w:p>
        </w:tc>
      </w:tr>
      <w:tr w14:paraId="643F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3D6C123">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年度</w:t>
            </w:r>
          </w:p>
          <w:p w14:paraId="5AF0043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38D0C0FC">
            <w:pPr>
              <w:jc w:val="left"/>
              <w:rPr>
                <w:rFonts w:hint="default" w:ascii="Times New Roman" w:hAnsi="Times New Roman" w:cs="Times New Roman"/>
                <w:sz w:val="20"/>
              </w:rPr>
            </w:pPr>
          </w:p>
        </w:tc>
      </w:tr>
      <w:tr w14:paraId="1A72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74D5AEC">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绩</w:t>
            </w:r>
          </w:p>
          <w:p w14:paraId="22D1B970">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效</w:t>
            </w:r>
          </w:p>
          <w:p w14:paraId="657AAC60">
            <w:pPr>
              <w:widowControl/>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w:t>
            </w:r>
          </w:p>
          <w:p w14:paraId="58BAF16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51C3527B">
            <w:pPr>
              <w:widowControl/>
              <w:spacing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一级</w:t>
            </w:r>
          </w:p>
          <w:p w14:paraId="57D766E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2F4CCDC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365140C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49FA0A3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64FA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92586A">
            <w:pPr>
              <w:jc w:val="center"/>
              <w:rPr>
                <w:rFonts w:hint="default" w:ascii="Times New Roman" w:hAnsi="Times New Roman" w:cs="Times New Roman"/>
                <w:sz w:val="20"/>
              </w:rPr>
            </w:pPr>
          </w:p>
        </w:tc>
        <w:tc>
          <w:tcPr>
            <w:tcW w:w="723" w:type="dxa"/>
            <w:vMerge w:val="restart"/>
            <w:tcBorders>
              <w:tl2br w:val="nil"/>
              <w:tr2bl w:val="nil"/>
            </w:tcBorders>
            <w:vAlign w:val="center"/>
          </w:tcPr>
          <w:p w14:paraId="4987674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4E3300F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7600070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招商宣传片数量</w:t>
            </w:r>
          </w:p>
        </w:tc>
        <w:tc>
          <w:tcPr>
            <w:tcW w:w="4228" w:type="dxa"/>
            <w:gridSpan w:val="2"/>
            <w:tcBorders>
              <w:tl2br w:val="nil"/>
              <w:tr2bl w:val="nil"/>
            </w:tcBorders>
            <w:vAlign w:val="center"/>
          </w:tcPr>
          <w:p w14:paraId="64922A7B">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w:t>
            </w:r>
          </w:p>
        </w:tc>
      </w:tr>
      <w:tr w14:paraId="13C4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34262B">
            <w:pPr>
              <w:jc w:val="center"/>
              <w:rPr>
                <w:rFonts w:hint="default" w:ascii="Times New Roman" w:hAnsi="Times New Roman" w:cs="Times New Roman"/>
                <w:sz w:val="20"/>
              </w:rPr>
            </w:pPr>
          </w:p>
        </w:tc>
        <w:tc>
          <w:tcPr>
            <w:tcW w:w="723" w:type="dxa"/>
            <w:vMerge w:val="continue"/>
            <w:tcBorders>
              <w:tl2br w:val="nil"/>
              <w:tr2bl w:val="nil"/>
            </w:tcBorders>
            <w:vAlign w:val="center"/>
          </w:tcPr>
          <w:p w14:paraId="4F730130">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024E1816">
            <w:pPr>
              <w:jc w:val="center"/>
              <w:rPr>
                <w:rFonts w:hint="default" w:ascii="Times New Roman" w:hAnsi="Times New Roman" w:cs="Times New Roman"/>
                <w:sz w:val="20"/>
              </w:rPr>
            </w:pPr>
          </w:p>
        </w:tc>
        <w:tc>
          <w:tcPr>
            <w:tcW w:w="2872" w:type="dxa"/>
            <w:tcBorders>
              <w:tl2br w:val="nil"/>
              <w:tr2bl w:val="nil"/>
            </w:tcBorders>
            <w:vAlign w:val="center"/>
          </w:tcPr>
          <w:p w14:paraId="220316E5">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65DB7942">
            <w:pPr>
              <w:jc w:val="center"/>
              <w:rPr>
                <w:rFonts w:hint="default" w:ascii="Times New Roman" w:hAnsi="Times New Roman" w:cs="Times New Roman"/>
                <w:sz w:val="20"/>
              </w:rPr>
            </w:pPr>
          </w:p>
        </w:tc>
      </w:tr>
      <w:tr w14:paraId="5351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100AB4">
            <w:pPr>
              <w:jc w:val="center"/>
              <w:rPr>
                <w:rFonts w:hint="default" w:ascii="Times New Roman" w:hAnsi="Times New Roman" w:cs="Times New Roman"/>
                <w:sz w:val="20"/>
              </w:rPr>
            </w:pPr>
          </w:p>
        </w:tc>
        <w:tc>
          <w:tcPr>
            <w:tcW w:w="723" w:type="dxa"/>
            <w:vMerge w:val="continue"/>
            <w:tcBorders>
              <w:tl2br w:val="nil"/>
              <w:tr2bl w:val="nil"/>
            </w:tcBorders>
            <w:vAlign w:val="center"/>
          </w:tcPr>
          <w:p w14:paraId="501085D7">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0C44689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1A0E3BCF">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宣传片质量</w:t>
            </w:r>
          </w:p>
        </w:tc>
        <w:tc>
          <w:tcPr>
            <w:tcW w:w="4228" w:type="dxa"/>
            <w:gridSpan w:val="2"/>
            <w:tcBorders>
              <w:tl2br w:val="nil"/>
              <w:tr2bl w:val="nil"/>
            </w:tcBorders>
            <w:vAlign w:val="center"/>
          </w:tcPr>
          <w:p w14:paraId="2D42AA0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高质量</w:t>
            </w:r>
          </w:p>
        </w:tc>
      </w:tr>
      <w:tr w14:paraId="719C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263CA7">
            <w:pPr>
              <w:jc w:val="center"/>
              <w:rPr>
                <w:rFonts w:hint="default" w:ascii="Times New Roman" w:hAnsi="Times New Roman" w:cs="Times New Roman"/>
                <w:sz w:val="20"/>
              </w:rPr>
            </w:pPr>
          </w:p>
        </w:tc>
        <w:tc>
          <w:tcPr>
            <w:tcW w:w="723" w:type="dxa"/>
            <w:vMerge w:val="continue"/>
            <w:tcBorders>
              <w:tl2br w:val="nil"/>
              <w:tr2bl w:val="nil"/>
            </w:tcBorders>
            <w:vAlign w:val="center"/>
          </w:tcPr>
          <w:p w14:paraId="70FE322A">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CE433CE">
            <w:pPr>
              <w:jc w:val="center"/>
              <w:rPr>
                <w:rFonts w:hint="default" w:ascii="Times New Roman" w:hAnsi="Times New Roman" w:cs="Times New Roman"/>
                <w:sz w:val="20"/>
              </w:rPr>
            </w:pPr>
          </w:p>
        </w:tc>
        <w:tc>
          <w:tcPr>
            <w:tcW w:w="2872" w:type="dxa"/>
            <w:tcBorders>
              <w:tl2br w:val="nil"/>
              <w:tr2bl w:val="nil"/>
            </w:tcBorders>
            <w:vAlign w:val="center"/>
          </w:tcPr>
          <w:p w14:paraId="19969DEA">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273D90D5">
            <w:pPr>
              <w:jc w:val="center"/>
              <w:rPr>
                <w:rFonts w:hint="default" w:ascii="Times New Roman" w:hAnsi="Times New Roman" w:cs="Times New Roman"/>
                <w:sz w:val="20"/>
              </w:rPr>
            </w:pPr>
          </w:p>
        </w:tc>
      </w:tr>
      <w:tr w14:paraId="4152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E1DFAD">
            <w:pPr>
              <w:jc w:val="center"/>
              <w:rPr>
                <w:rFonts w:hint="default" w:ascii="Times New Roman" w:hAnsi="Times New Roman" w:cs="Times New Roman"/>
                <w:sz w:val="20"/>
              </w:rPr>
            </w:pPr>
          </w:p>
        </w:tc>
        <w:tc>
          <w:tcPr>
            <w:tcW w:w="723" w:type="dxa"/>
            <w:vMerge w:val="continue"/>
            <w:tcBorders>
              <w:tl2br w:val="nil"/>
              <w:tr2bl w:val="nil"/>
            </w:tcBorders>
            <w:vAlign w:val="center"/>
          </w:tcPr>
          <w:p w14:paraId="2B472440">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58B7BB6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7E8B046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制作及时性</w:t>
            </w:r>
          </w:p>
        </w:tc>
        <w:tc>
          <w:tcPr>
            <w:tcW w:w="4228" w:type="dxa"/>
            <w:gridSpan w:val="2"/>
            <w:tcBorders>
              <w:tl2br w:val="nil"/>
              <w:tr2bl w:val="nil"/>
            </w:tcBorders>
            <w:vAlign w:val="center"/>
          </w:tcPr>
          <w:p w14:paraId="35056DE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及时完成制作</w:t>
            </w:r>
          </w:p>
        </w:tc>
      </w:tr>
      <w:tr w14:paraId="4C65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75F70A">
            <w:pPr>
              <w:jc w:val="center"/>
              <w:rPr>
                <w:rFonts w:hint="default" w:ascii="Times New Roman" w:hAnsi="Times New Roman" w:cs="Times New Roman"/>
                <w:sz w:val="20"/>
              </w:rPr>
            </w:pPr>
          </w:p>
        </w:tc>
        <w:tc>
          <w:tcPr>
            <w:tcW w:w="723" w:type="dxa"/>
            <w:vMerge w:val="continue"/>
            <w:tcBorders>
              <w:tl2br w:val="nil"/>
              <w:tr2bl w:val="nil"/>
            </w:tcBorders>
            <w:vAlign w:val="center"/>
          </w:tcPr>
          <w:p w14:paraId="0B2DF6ED">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46C705D">
            <w:pPr>
              <w:jc w:val="center"/>
              <w:rPr>
                <w:rFonts w:hint="default" w:ascii="Times New Roman" w:hAnsi="Times New Roman" w:cs="Times New Roman"/>
                <w:sz w:val="20"/>
              </w:rPr>
            </w:pPr>
          </w:p>
        </w:tc>
        <w:tc>
          <w:tcPr>
            <w:tcW w:w="2872" w:type="dxa"/>
            <w:tcBorders>
              <w:tl2br w:val="nil"/>
              <w:tr2bl w:val="nil"/>
            </w:tcBorders>
            <w:vAlign w:val="center"/>
          </w:tcPr>
          <w:p w14:paraId="0CE5C540">
            <w:pPr>
              <w:widowControl/>
              <w:jc w:val="left"/>
              <w:textAlignment w:val="center"/>
              <w:rPr>
                <w:rFonts w:hint="default" w:ascii="Times New Roman" w:hAnsi="Times New Roman" w:eastAsia="汉仪中秀体简" w:cs="Times New Roman"/>
                <w:sz w:val="20"/>
                <w:lang w:eastAsia="zh-CN"/>
              </w:rPr>
            </w:pPr>
            <w:r>
              <w:rPr>
                <w:rFonts w:hint="default" w:ascii="Times New Roman" w:hAnsi="Times New Roman" w:eastAsia="汉仪中秀体简" w:cs="Times New Roman"/>
                <w:color w:val="000000"/>
                <w:kern w:val="0"/>
                <w:sz w:val="20"/>
                <w:szCs w:val="20"/>
              </w:rPr>
              <w:t>…</w:t>
            </w:r>
            <w:r>
              <w:rPr>
                <w:rFonts w:hint="default" w:ascii="Times New Roman" w:hAnsi="Times New Roman" w:eastAsia="宋体" w:cs="Times New Roman"/>
                <w:color w:val="000000"/>
                <w:kern w:val="0"/>
                <w:sz w:val="20"/>
                <w:szCs w:val="20"/>
                <w:lang w:eastAsia="zh-CN"/>
              </w:rPr>
              <w:t>资金支付及时性</w:t>
            </w:r>
          </w:p>
        </w:tc>
        <w:tc>
          <w:tcPr>
            <w:tcW w:w="4228" w:type="dxa"/>
            <w:gridSpan w:val="2"/>
            <w:tcBorders>
              <w:tl2br w:val="nil"/>
              <w:tr2bl w:val="nil"/>
            </w:tcBorders>
            <w:vAlign w:val="center"/>
          </w:tcPr>
          <w:p w14:paraId="745187A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及时支付</w:t>
            </w:r>
          </w:p>
        </w:tc>
      </w:tr>
      <w:tr w14:paraId="1262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1C3795">
            <w:pPr>
              <w:jc w:val="center"/>
              <w:rPr>
                <w:rFonts w:hint="default" w:ascii="Times New Roman" w:hAnsi="Times New Roman" w:cs="Times New Roman"/>
                <w:sz w:val="20"/>
              </w:rPr>
            </w:pPr>
          </w:p>
        </w:tc>
        <w:tc>
          <w:tcPr>
            <w:tcW w:w="723" w:type="dxa"/>
            <w:vMerge w:val="continue"/>
            <w:tcBorders>
              <w:tl2br w:val="nil"/>
              <w:tr2bl w:val="nil"/>
            </w:tcBorders>
            <w:vAlign w:val="center"/>
          </w:tcPr>
          <w:p w14:paraId="25407BFC">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3F3EE8A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24BCBF8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节约性</w:t>
            </w:r>
          </w:p>
        </w:tc>
        <w:tc>
          <w:tcPr>
            <w:tcW w:w="4228" w:type="dxa"/>
            <w:gridSpan w:val="2"/>
            <w:tcBorders>
              <w:tl2br w:val="nil"/>
              <w:tr2bl w:val="nil"/>
            </w:tcBorders>
            <w:vAlign w:val="center"/>
          </w:tcPr>
          <w:p w14:paraId="26352CC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厉行节约</w:t>
            </w:r>
          </w:p>
        </w:tc>
      </w:tr>
      <w:tr w14:paraId="5E60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A6D8AE">
            <w:pPr>
              <w:jc w:val="center"/>
              <w:rPr>
                <w:rFonts w:hint="default" w:ascii="Times New Roman" w:hAnsi="Times New Roman" w:cs="Times New Roman"/>
                <w:sz w:val="20"/>
              </w:rPr>
            </w:pPr>
          </w:p>
        </w:tc>
        <w:tc>
          <w:tcPr>
            <w:tcW w:w="723" w:type="dxa"/>
            <w:vMerge w:val="continue"/>
            <w:tcBorders>
              <w:tl2br w:val="nil"/>
              <w:tr2bl w:val="nil"/>
            </w:tcBorders>
            <w:vAlign w:val="center"/>
          </w:tcPr>
          <w:p w14:paraId="7F133141">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04152196">
            <w:pPr>
              <w:jc w:val="center"/>
              <w:rPr>
                <w:rFonts w:hint="default" w:ascii="Times New Roman" w:hAnsi="Times New Roman" w:cs="Times New Roman"/>
                <w:sz w:val="20"/>
              </w:rPr>
            </w:pPr>
          </w:p>
        </w:tc>
        <w:tc>
          <w:tcPr>
            <w:tcW w:w="2872" w:type="dxa"/>
            <w:tcBorders>
              <w:tl2br w:val="nil"/>
              <w:tr2bl w:val="nil"/>
            </w:tcBorders>
            <w:vAlign w:val="center"/>
          </w:tcPr>
          <w:p w14:paraId="7DCCF0D6">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231F6F91">
            <w:pPr>
              <w:jc w:val="center"/>
              <w:rPr>
                <w:rFonts w:hint="default" w:ascii="Times New Roman" w:hAnsi="Times New Roman" w:cs="Times New Roman"/>
                <w:sz w:val="20"/>
              </w:rPr>
            </w:pPr>
          </w:p>
        </w:tc>
      </w:tr>
      <w:tr w14:paraId="5A1A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211A92">
            <w:pPr>
              <w:jc w:val="center"/>
              <w:rPr>
                <w:rFonts w:hint="default" w:ascii="Times New Roman" w:hAnsi="Times New Roman" w:cs="Times New Roman"/>
                <w:sz w:val="20"/>
              </w:rPr>
            </w:pPr>
          </w:p>
        </w:tc>
        <w:tc>
          <w:tcPr>
            <w:tcW w:w="723" w:type="dxa"/>
            <w:vMerge w:val="continue"/>
            <w:tcBorders>
              <w:tl2br w:val="nil"/>
              <w:tr2bl w:val="nil"/>
            </w:tcBorders>
            <w:vAlign w:val="center"/>
          </w:tcPr>
          <w:p w14:paraId="417D12A9">
            <w:pPr>
              <w:jc w:val="center"/>
              <w:rPr>
                <w:rFonts w:hint="default" w:ascii="Times New Roman" w:hAnsi="Times New Roman" w:cs="Times New Roman"/>
                <w:sz w:val="20"/>
              </w:rPr>
            </w:pPr>
          </w:p>
        </w:tc>
        <w:tc>
          <w:tcPr>
            <w:tcW w:w="759" w:type="dxa"/>
            <w:gridSpan w:val="2"/>
            <w:tcBorders>
              <w:tl2br w:val="nil"/>
              <w:tr2bl w:val="nil"/>
            </w:tcBorders>
            <w:vAlign w:val="center"/>
          </w:tcPr>
          <w:p w14:paraId="52D136E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w:t>
            </w:r>
          </w:p>
        </w:tc>
        <w:tc>
          <w:tcPr>
            <w:tcW w:w="2872" w:type="dxa"/>
            <w:tcBorders>
              <w:tl2br w:val="nil"/>
              <w:tr2bl w:val="nil"/>
            </w:tcBorders>
            <w:vAlign w:val="center"/>
          </w:tcPr>
          <w:p w14:paraId="31550A48">
            <w:pPr>
              <w:jc w:val="left"/>
              <w:rPr>
                <w:rFonts w:hint="default" w:ascii="Times New Roman" w:hAnsi="Times New Roman" w:cs="Times New Roman"/>
                <w:sz w:val="20"/>
              </w:rPr>
            </w:pPr>
          </w:p>
        </w:tc>
        <w:tc>
          <w:tcPr>
            <w:tcW w:w="4228" w:type="dxa"/>
            <w:gridSpan w:val="2"/>
            <w:tcBorders>
              <w:tl2br w:val="nil"/>
              <w:tr2bl w:val="nil"/>
            </w:tcBorders>
            <w:vAlign w:val="center"/>
          </w:tcPr>
          <w:p w14:paraId="60DCA9B7">
            <w:pPr>
              <w:jc w:val="center"/>
              <w:rPr>
                <w:rFonts w:hint="default" w:ascii="Times New Roman" w:hAnsi="Times New Roman" w:cs="Times New Roman"/>
                <w:sz w:val="20"/>
              </w:rPr>
            </w:pPr>
          </w:p>
        </w:tc>
      </w:tr>
      <w:tr w14:paraId="699A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2CF765">
            <w:pPr>
              <w:jc w:val="center"/>
              <w:rPr>
                <w:rFonts w:hint="default" w:ascii="Times New Roman" w:hAnsi="Times New Roman" w:cs="Times New Roman"/>
                <w:sz w:val="20"/>
              </w:rPr>
            </w:pPr>
          </w:p>
        </w:tc>
        <w:tc>
          <w:tcPr>
            <w:tcW w:w="723" w:type="dxa"/>
            <w:vMerge w:val="restart"/>
            <w:tcBorders>
              <w:tl2br w:val="nil"/>
              <w:tr2bl w:val="nil"/>
            </w:tcBorders>
            <w:vAlign w:val="center"/>
          </w:tcPr>
          <w:p w14:paraId="37F0C91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vMerge w:val="restart"/>
            <w:tcBorders>
              <w:tl2br w:val="nil"/>
              <w:tr2bl w:val="nil"/>
            </w:tcBorders>
            <w:vAlign w:val="center"/>
          </w:tcPr>
          <w:p w14:paraId="06A25B5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1E5CDF2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经济效益</w:t>
            </w:r>
          </w:p>
        </w:tc>
        <w:tc>
          <w:tcPr>
            <w:tcW w:w="4228" w:type="dxa"/>
            <w:gridSpan w:val="2"/>
            <w:tcBorders>
              <w:tl2br w:val="nil"/>
              <w:tr2bl w:val="nil"/>
            </w:tcBorders>
            <w:vAlign w:val="center"/>
          </w:tcPr>
          <w:p w14:paraId="2AD3D1A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带动经济发展</w:t>
            </w:r>
          </w:p>
        </w:tc>
      </w:tr>
      <w:tr w14:paraId="56D8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0A8D44">
            <w:pPr>
              <w:jc w:val="center"/>
              <w:rPr>
                <w:rFonts w:hint="default" w:ascii="Times New Roman" w:hAnsi="Times New Roman" w:cs="Times New Roman"/>
                <w:sz w:val="20"/>
              </w:rPr>
            </w:pPr>
          </w:p>
        </w:tc>
        <w:tc>
          <w:tcPr>
            <w:tcW w:w="723" w:type="dxa"/>
            <w:vMerge w:val="continue"/>
            <w:tcBorders>
              <w:tl2br w:val="nil"/>
              <w:tr2bl w:val="nil"/>
            </w:tcBorders>
            <w:vAlign w:val="center"/>
          </w:tcPr>
          <w:p w14:paraId="650EAAE0">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05A03868">
            <w:pPr>
              <w:jc w:val="center"/>
              <w:rPr>
                <w:rFonts w:hint="default" w:ascii="Times New Roman" w:hAnsi="Times New Roman" w:cs="Times New Roman"/>
                <w:sz w:val="20"/>
              </w:rPr>
            </w:pPr>
          </w:p>
        </w:tc>
        <w:tc>
          <w:tcPr>
            <w:tcW w:w="2872" w:type="dxa"/>
            <w:tcBorders>
              <w:tl2br w:val="nil"/>
              <w:tr2bl w:val="nil"/>
            </w:tcBorders>
            <w:vAlign w:val="center"/>
          </w:tcPr>
          <w:p w14:paraId="004A724C">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63C0AD6F">
            <w:pPr>
              <w:jc w:val="center"/>
              <w:rPr>
                <w:rFonts w:hint="default" w:ascii="Times New Roman" w:hAnsi="Times New Roman" w:cs="Times New Roman"/>
                <w:sz w:val="20"/>
              </w:rPr>
            </w:pPr>
          </w:p>
        </w:tc>
      </w:tr>
      <w:tr w14:paraId="3515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98399C">
            <w:pPr>
              <w:jc w:val="center"/>
              <w:rPr>
                <w:rFonts w:hint="default" w:ascii="Times New Roman" w:hAnsi="Times New Roman" w:cs="Times New Roman"/>
                <w:sz w:val="20"/>
              </w:rPr>
            </w:pPr>
          </w:p>
        </w:tc>
        <w:tc>
          <w:tcPr>
            <w:tcW w:w="723" w:type="dxa"/>
            <w:vMerge w:val="continue"/>
            <w:tcBorders>
              <w:tl2br w:val="nil"/>
              <w:tr2bl w:val="nil"/>
            </w:tcBorders>
            <w:vAlign w:val="center"/>
          </w:tcPr>
          <w:p w14:paraId="0034C1CB">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0B89651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0949829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社会效益</w:t>
            </w:r>
          </w:p>
        </w:tc>
        <w:tc>
          <w:tcPr>
            <w:tcW w:w="4228" w:type="dxa"/>
            <w:gridSpan w:val="2"/>
            <w:tcBorders>
              <w:tl2br w:val="nil"/>
              <w:tr2bl w:val="nil"/>
            </w:tcBorders>
            <w:vAlign w:val="center"/>
          </w:tcPr>
          <w:p w14:paraId="4F1CEF5D">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促进社会稳定</w:t>
            </w:r>
          </w:p>
        </w:tc>
      </w:tr>
      <w:tr w14:paraId="11F0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5D9E26">
            <w:pPr>
              <w:jc w:val="center"/>
              <w:rPr>
                <w:rFonts w:hint="default" w:ascii="Times New Roman" w:hAnsi="Times New Roman" w:cs="Times New Roman"/>
                <w:sz w:val="20"/>
              </w:rPr>
            </w:pPr>
          </w:p>
        </w:tc>
        <w:tc>
          <w:tcPr>
            <w:tcW w:w="723" w:type="dxa"/>
            <w:vMerge w:val="continue"/>
            <w:tcBorders>
              <w:tl2br w:val="nil"/>
              <w:tr2bl w:val="nil"/>
            </w:tcBorders>
            <w:vAlign w:val="center"/>
          </w:tcPr>
          <w:p w14:paraId="16272BA3">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CD937B6">
            <w:pPr>
              <w:jc w:val="center"/>
              <w:rPr>
                <w:rFonts w:hint="default" w:ascii="Times New Roman" w:hAnsi="Times New Roman" w:cs="Times New Roman"/>
                <w:sz w:val="20"/>
              </w:rPr>
            </w:pPr>
          </w:p>
        </w:tc>
        <w:tc>
          <w:tcPr>
            <w:tcW w:w="2872" w:type="dxa"/>
            <w:tcBorders>
              <w:tl2br w:val="nil"/>
              <w:tr2bl w:val="nil"/>
            </w:tcBorders>
            <w:vAlign w:val="center"/>
          </w:tcPr>
          <w:p w14:paraId="7CA96942">
            <w:pPr>
              <w:widowControl/>
              <w:jc w:val="left"/>
              <w:textAlignment w:val="center"/>
              <w:rPr>
                <w:rFonts w:hint="default" w:ascii="Times New Roman" w:hAnsi="Times New Roman" w:cs="Times New Roman"/>
                <w:sz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16D0DB3F">
            <w:pPr>
              <w:jc w:val="center"/>
              <w:rPr>
                <w:rFonts w:hint="default" w:ascii="Times New Roman" w:hAnsi="Times New Roman" w:cs="Times New Roman"/>
                <w:sz w:val="20"/>
              </w:rPr>
            </w:pPr>
          </w:p>
        </w:tc>
      </w:tr>
      <w:tr w14:paraId="72EB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169CAA">
            <w:pPr>
              <w:jc w:val="center"/>
              <w:rPr>
                <w:rFonts w:hint="default" w:ascii="Times New Roman" w:hAnsi="Times New Roman" w:cs="Times New Roman"/>
                <w:sz w:val="20"/>
              </w:rPr>
            </w:pPr>
          </w:p>
        </w:tc>
        <w:tc>
          <w:tcPr>
            <w:tcW w:w="723" w:type="dxa"/>
            <w:vMerge w:val="continue"/>
            <w:tcBorders>
              <w:tl2br w:val="nil"/>
              <w:tr2bl w:val="nil"/>
            </w:tcBorders>
            <w:vAlign w:val="center"/>
          </w:tcPr>
          <w:p w14:paraId="1D9A9ECC">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75C556F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1829F28C">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生态环保性</w:t>
            </w:r>
          </w:p>
        </w:tc>
        <w:tc>
          <w:tcPr>
            <w:tcW w:w="4228" w:type="dxa"/>
            <w:gridSpan w:val="2"/>
            <w:tcBorders>
              <w:tl2br w:val="nil"/>
              <w:tr2bl w:val="nil"/>
            </w:tcBorders>
            <w:vAlign w:val="center"/>
          </w:tcPr>
          <w:p w14:paraId="29FE5901">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促进生态向好</w:t>
            </w:r>
          </w:p>
        </w:tc>
      </w:tr>
      <w:tr w14:paraId="3627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5F1F9C">
            <w:pPr>
              <w:jc w:val="center"/>
              <w:rPr>
                <w:rFonts w:hint="default" w:ascii="Times New Roman" w:hAnsi="Times New Roman" w:cs="Times New Roman"/>
                <w:sz w:val="20"/>
              </w:rPr>
            </w:pPr>
          </w:p>
        </w:tc>
        <w:tc>
          <w:tcPr>
            <w:tcW w:w="723" w:type="dxa"/>
            <w:vMerge w:val="continue"/>
            <w:tcBorders>
              <w:tl2br w:val="nil"/>
              <w:tr2bl w:val="nil"/>
            </w:tcBorders>
            <w:vAlign w:val="center"/>
          </w:tcPr>
          <w:p w14:paraId="3E77ABF4">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A60599E">
            <w:pPr>
              <w:jc w:val="center"/>
              <w:rPr>
                <w:rFonts w:hint="default" w:ascii="Times New Roman" w:hAnsi="Times New Roman" w:cs="Times New Roman"/>
                <w:sz w:val="20"/>
              </w:rPr>
            </w:pPr>
          </w:p>
        </w:tc>
        <w:tc>
          <w:tcPr>
            <w:tcW w:w="2872" w:type="dxa"/>
            <w:tcBorders>
              <w:tl2br w:val="nil"/>
              <w:tr2bl w:val="nil"/>
            </w:tcBorders>
            <w:vAlign w:val="center"/>
          </w:tcPr>
          <w:p w14:paraId="7E00AF78">
            <w:pPr>
              <w:widowControl/>
              <w:jc w:val="left"/>
              <w:textAlignment w:val="center"/>
              <w:rPr>
                <w:rFonts w:hint="default" w:ascii="Times New Roman" w:hAnsi="Times New Roman" w:eastAsia="汉仪中秀体简" w:cs="Times New Roman"/>
                <w:color w:val="000000"/>
                <w:kern w:val="0"/>
                <w:sz w:val="20"/>
                <w:szCs w:val="20"/>
              </w:rPr>
            </w:pPr>
            <w:r>
              <w:rPr>
                <w:rFonts w:hint="default" w:ascii="Times New Roman" w:hAnsi="Times New Roman" w:eastAsia="汉仪中秀体简" w:cs="Times New Roman"/>
                <w:color w:val="000000"/>
                <w:kern w:val="0"/>
                <w:sz w:val="20"/>
                <w:szCs w:val="20"/>
              </w:rPr>
              <w:t>…</w:t>
            </w:r>
          </w:p>
        </w:tc>
        <w:tc>
          <w:tcPr>
            <w:tcW w:w="4228" w:type="dxa"/>
            <w:gridSpan w:val="2"/>
            <w:tcBorders>
              <w:tl2br w:val="nil"/>
              <w:tr2bl w:val="nil"/>
            </w:tcBorders>
            <w:vAlign w:val="center"/>
          </w:tcPr>
          <w:p w14:paraId="5952C195">
            <w:pPr>
              <w:widowControl/>
              <w:jc w:val="left"/>
              <w:textAlignment w:val="center"/>
              <w:rPr>
                <w:rFonts w:hint="default" w:ascii="Times New Roman" w:hAnsi="Times New Roman" w:eastAsia="汉仪中秀体简" w:cs="Times New Roman"/>
                <w:color w:val="000000"/>
                <w:kern w:val="0"/>
                <w:sz w:val="20"/>
                <w:szCs w:val="20"/>
              </w:rPr>
            </w:pPr>
          </w:p>
        </w:tc>
      </w:tr>
      <w:tr w14:paraId="11C9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26BE696">
            <w:pPr>
              <w:jc w:val="center"/>
              <w:rPr>
                <w:rFonts w:hint="default" w:ascii="Times New Roman" w:hAnsi="Times New Roman" w:cs="Times New Roman"/>
                <w:sz w:val="20"/>
              </w:rPr>
            </w:pPr>
          </w:p>
        </w:tc>
        <w:tc>
          <w:tcPr>
            <w:tcW w:w="723" w:type="dxa"/>
            <w:vMerge w:val="continue"/>
            <w:tcBorders>
              <w:tl2br w:val="nil"/>
              <w:tr2bl w:val="nil"/>
            </w:tcBorders>
            <w:vAlign w:val="center"/>
          </w:tcPr>
          <w:p w14:paraId="327A5A8A">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02B6E27A">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4533F8EF">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可持续性</w:t>
            </w:r>
          </w:p>
        </w:tc>
        <w:tc>
          <w:tcPr>
            <w:tcW w:w="4228" w:type="dxa"/>
            <w:gridSpan w:val="2"/>
            <w:tcBorders>
              <w:tl2br w:val="nil"/>
              <w:tr2bl w:val="nil"/>
            </w:tcBorders>
            <w:vAlign w:val="center"/>
          </w:tcPr>
          <w:p w14:paraId="7FC51FE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促进社会可持续发展</w:t>
            </w:r>
          </w:p>
        </w:tc>
      </w:tr>
      <w:tr w14:paraId="6682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B76D517">
            <w:pPr>
              <w:jc w:val="center"/>
              <w:rPr>
                <w:rFonts w:hint="default" w:ascii="Times New Roman" w:hAnsi="Times New Roman" w:cs="Times New Roman"/>
                <w:sz w:val="20"/>
              </w:rPr>
            </w:pPr>
          </w:p>
        </w:tc>
        <w:tc>
          <w:tcPr>
            <w:tcW w:w="723" w:type="dxa"/>
            <w:vMerge w:val="continue"/>
            <w:tcBorders>
              <w:tl2br w:val="nil"/>
              <w:tr2bl w:val="nil"/>
            </w:tcBorders>
            <w:vAlign w:val="center"/>
          </w:tcPr>
          <w:p w14:paraId="3C4435A6">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05D98E4">
            <w:pPr>
              <w:jc w:val="center"/>
              <w:rPr>
                <w:rFonts w:hint="default" w:ascii="Times New Roman" w:hAnsi="Times New Roman" w:eastAsia="宋体" w:cs="Times New Roman"/>
                <w:sz w:val="20"/>
              </w:rPr>
            </w:pPr>
          </w:p>
        </w:tc>
        <w:tc>
          <w:tcPr>
            <w:tcW w:w="2872" w:type="dxa"/>
            <w:tcBorders>
              <w:tl2br w:val="nil"/>
              <w:tr2bl w:val="nil"/>
            </w:tcBorders>
            <w:vAlign w:val="center"/>
          </w:tcPr>
          <w:p w14:paraId="7458A579">
            <w:pPr>
              <w:widowControl/>
              <w:jc w:val="lef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w:t>
            </w:r>
          </w:p>
        </w:tc>
        <w:tc>
          <w:tcPr>
            <w:tcW w:w="4228" w:type="dxa"/>
            <w:gridSpan w:val="2"/>
            <w:tcBorders>
              <w:tl2br w:val="nil"/>
              <w:tr2bl w:val="nil"/>
            </w:tcBorders>
            <w:vAlign w:val="center"/>
          </w:tcPr>
          <w:p w14:paraId="6B140E97">
            <w:pPr>
              <w:jc w:val="center"/>
              <w:rPr>
                <w:rFonts w:hint="default" w:ascii="Times New Roman" w:hAnsi="Times New Roman" w:cs="Times New Roman"/>
                <w:sz w:val="20"/>
              </w:rPr>
            </w:pPr>
          </w:p>
        </w:tc>
      </w:tr>
      <w:tr w14:paraId="5AC6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E42B99">
            <w:pPr>
              <w:jc w:val="center"/>
              <w:rPr>
                <w:rFonts w:hint="default" w:ascii="Times New Roman" w:hAnsi="Times New Roman" w:cs="Times New Roman"/>
                <w:sz w:val="20"/>
              </w:rPr>
            </w:pPr>
          </w:p>
        </w:tc>
        <w:tc>
          <w:tcPr>
            <w:tcW w:w="723" w:type="dxa"/>
            <w:vMerge w:val="continue"/>
            <w:tcBorders>
              <w:tl2br w:val="nil"/>
              <w:tr2bl w:val="nil"/>
            </w:tcBorders>
            <w:vAlign w:val="center"/>
          </w:tcPr>
          <w:p w14:paraId="43423FB1">
            <w:pPr>
              <w:jc w:val="center"/>
              <w:rPr>
                <w:rFonts w:hint="default" w:ascii="Times New Roman" w:hAnsi="Times New Roman" w:cs="Times New Roman"/>
                <w:sz w:val="20"/>
              </w:rPr>
            </w:pPr>
          </w:p>
        </w:tc>
        <w:tc>
          <w:tcPr>
            <w:tcW w:w="759" w:type="dxa"/>
            <w:gridSpan w:val="2"/>
            <w:tcBorders>
              <w:tl2br w:val="nil"/>
              <w:tr2bl w:val="nil"/>
            </w:tcBorders>
            <w:vAlign w:val="center"/>
          </w:tcPr>
          <w:p w14:paraId="53B92DEB">
            <w:pPr>
              <w:jc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w:t>
            </w:r>
          </w:p>
        </w:tc>
        <w:tc>
          <w:tcPr>
            <w:tcW w:w="2872" w:type="dxa"/>
            <w:tcBorders>
              <w:tl2br w:val="nil"/>
              <w:tr2bl w:val="nil"/>
            </w:tcBorders>
            <w:vAlign w:val="center"/>
          </w:tcPr>
          <w:p w14:paraId="451E4403">
            <w:pPr>
              <w:widowControl/>
              <w:jc w:val="left"/>
              <w:textAlignment w:val="center"/>
              <w:rPr>
                <w:rFonts w:hint="default" w:ascii="Times New Roman" w:hAnsi="Times New Roman" w:eastAsia="宋体" w:cs="Times New Roman"/>
                <w:color w:val="000000"/>
                <w:kern w:val="0"/>
                <w:sz w:val="20"/>
                <w:szCs w:val="20"/>
              </w:rPr>
            </w:pPr>
          </w:p>
        </w:tc>
        <w:tc>
          <w:tcPr>
            <w:tcW w:w="4228" w:type="dxa"/>
            <w:gridSpan w:val="2"/>
            <w:tcBorders>
              <w:tl2br w:val="nil"/>
              <w:tr2bl w:val="nil"/>
            </w:tcBorders>
            <w:vAlign w:val="center"/>
          </w:tcPr>
          <w:p w14:paraId="4C5E7445">
            <w:pPr>
              <w:jc w:val="center"/>
              <w:rPr>
                <w:rFonts w:hint="default" w:ascii="Times New Roman" w:hAnsi="Times New Roman" w:cs="Times New Roman"/>
                <w:sz w:val="20"/>
              </w:rPr>
            </w:pPr>
          </w:p>
        </w:tc>
      </w:tr>
      <w:tr w14:paraId="69F5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C1086F">
            <w:pPr>
              <w:jc w:val="center"/>
              <w:rPr>
                <w:rFonts w:hint="default" w:ascii="Times New Roman" w:hAnsi="Times New Roman" w:cs="Times New Roman"/>
                <w:sz w:val="20"/>
              </w:rPr>
            </w:pPr>
          </w:p>
        </w:tc>
        <w:tc>
          <w:tcPr>
            <w:tcW w:w="723" w:type="dxa"/>
            <w:vMerge w:val="restart"/>
            <w:tcBorders>
              <w:tl2br w:val="nil"/>
              <w:tr2bl w:val="nil"/>
            </w:tcBorders>
            <w:vAlign w:val="center"/>
          </w:tcPr>
          <w:p w14:paraId="4B30D3E5">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vMerge w:val="restart"/>
            <w:tcBorders>
              <w:tl2br w:val="nil"/>
              <w:tr2bl w:val="nil"/>
            </w:tcBorders>
            <w:vAlign w:val="center"/>
          </w:tcPr>
          <w:p w14:paraId="130134FA">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2796646F">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1592CE2A">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r w14:paraId="21F2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213975">
            <w:pPr>
              <w:jc w:val="center"/>
              <w:rPr>
                <w:rFonts w:hint="default" w:ascii="Times New Roman" w:hAnsi="Times New Roman" w:cs="Times New Roman"/>
                <w:sz w:val="20"/>
              </w:rPr>
            </w:pPr>
          </w:p>
        </w:tc>
        <w:tc>
          <w:tcPr>
            <w:tcW w:w="723" w:type="dxa"/>
            <w:vMerge w:val="continue"/>
            <w:tcBorders>
              <w:tl2br w:val="nil"/>
              <w:tr2bl w:val="nil"/>
            </w:tcBorders>
            <w:vAlign w:val="center"/>
          </w:tcPr>
          <w:p w14:paraId="075E19DD">
            <w:pPr>
              <w:jc w:val="center"/>
              <w:rPr>
                <w:rFonts w:hint="default" w:ascii="Times New Roman" w:hAnsi="Times New Roman" w:eastAsia="宋体" w:cs="Times New Roman"/>
                <w:sz w:val="20"/>
              </w:rPr>
            </w:pPr>
          </w:p>
        </w:tc>
        <w:tc>
          <w:tcPr>
            <w:tcW w:w="759" w:type="dxa"/>
            <w:gridSpan w:val="2"/>
            <w:vMerge w:val="continue"/>
            <w:tcBorders>
              <w:tl2br w:val="nil"/>
              <w:tr2bl w:val="nil"/>
            </w:tcBorders>
            <w:vAlign w:val="center"/>
          </w:tcPr>
          <w:p w14:paraId="285BD971">
            <w:pPr>
              <w:jc w:val="center"/>
              <w:rPr>
                <w:rFonts w:hint="default" w:ascii="Times New Roman" w:hAnsi="Times New Roman" w:eastAsia="宋体" w:cs="Times New Roman"/>
                <w:sz w:val="20"/>
              </w:rPr>
            </w:pPr>
          </w:p>
        </w:tc>
        <w:tc>
          <w:tcPr>
            <w:tcW w:w="2872" w:type="dxa"/>
            <w:tcBorders>
              <w:tl2br w:val="nil"/>
              <w:tr2bl w:val="nil"/>
            </w:tcBorders>
            <w:vAlign w:val="center"/>
          </w:tcPr>
          <w:p w14:paraId="15E757A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客商满意度</w:t>
            </w:r>
          </w:p>
        </w:tc>
        <w:tc>
          <w:tcPr>
            <w:tcW w:w="4228" w:type="dxa"/>
            <w:gridSpan w:val="2"/>
            <w:tcBorders>
              <w:tl2br w:val="nil"/>
              <w:tr2bl w:val="nil"/>
            </w:tcBorders>
            <w:vAlign w:val="center"/>
          </w:tcPr>
          <w:p w14:paraId="5A57473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1FFC1C16">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7887DF3E">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2024年机关运行经费财政拨款预算</w:t>
      </w:r>
      <w:r>
        <w:rPr>
          <w:rFonts w:hint="default" w:ascii="Times New Roman" w:hAnsi="Times New Roman" w:eastAsia="仿宋_GB2312" w:cs="Times New Roman"/>
          <w:kern w:val="0"/>
          <w:sz w:val="32"/>
          <w:szCs w:val="32"/>
          <w:lang w:val="en-US" w:eastAsia="zh-CN"/>
        </w:rPr>
        <w:t>61.22</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7.29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13.51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人员增加</w:t>
      </w:r>
      <w:r>
        <w:rPr>
          <w:rFonts w:hint="default" w:ascii="Times New Roman" w:hAnsi="Times New Roman" w:eastAsia="仿宋_GB2312" w:cs="Times New Roman"/>
          <w:kern w:val="0"/>
          <w:sz w:val="32"/>
          <w:szCs w:val="32"/>
        </w:rPr>
        <w:t>。</w:t>
      </w:r>
    </w:p>
    <w:p w14:paraId="1A1E05A0">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46B717E5">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2024年政府采购预算</w:t>
      </w:r>
      <w:r>
        <w:rPr>
          <w:rFonts w:hint="default" w:ascii="Times New Roman" w:hAnsi="Times New Roman" w:eastAsia="仿宋_GB2312" w:cs="Times New Roman"/>
          <w:kern w:val="0"/>
          <w:sz w:val="32"/>
          <w:szCs w:val="32"/>
          <w:lang w:val="en-US" w:eastAsia="zh-CN"/>
        </w:rPr>
        <w:t>5.61</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5.61</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7292E325">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374F3549">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2AF70116">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w:t>
      </w:r>
      <w:r>
        <w:rPr>
          <w:rFonts w:hint="default"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rPr>
        <w:t>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8B17881">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6DB216F2">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07B14C69">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720" w:firstLineChars="200"/>
        <w:jc w:val="center"/>
        <w:textAlignment w:val="auto"/>
        <w:rPr>
          <w:rFonts w:hint="default" w:ascii="Times New Roman" w:hAnsi="Times New Roman" w:eastAsia="黑体" w:cs="Times New Roman"/>
          <w:bCs/>
          <w:sz w:val="36"/>
          <w:szCs w:val="36"/>
        </w:rPr>
      </w:pPr>
    </w:p>
    <w:p w14:paraId="70BB618C">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720" w:firstLineChars="20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29D787BC">
      <w:pPr>
        <w:keepNext w:val="0"/>
        <w:keepLines w:val="0"/>
        <w:pageBreakBefore w:val="0"/>
        <w:kinsoku/>
        <w:wordWrap/>
        <w:overflowPunct/>
        <w:topLinePunct w:val="0"/>
        <w:autoSpaceDE/>
        <w:autoSpaceDN/>
        <w:bidi w:val="0"/>
        <w:spacing w:beforeAutospacing="0" w:afterAutospacing="0" w:line="580" w:lineRule="exact"/>
        <w:ind w:firstLine="420" w:firstLineChars="200"/>
        <w:textAlignment w:val="auto"/>
        <w:rPr>
          <w:rFonts w:hint="default" w:ascii="Times New Roman" w:hAnsi="Times New Roman" w:cs="Times New Roman"/>
        </w:rPr>
      </w:pPr>
    </w:p>
    <w:p w14:paraId="3934B856">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739A3CBE">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444D8241">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70A8B1FE">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30A72EA7">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2238F149">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209C2AB2">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11EDF0F7">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7DD211D9">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2A1614D2">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汉仪中秀体简">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kZTVlZjM2ZmIyYzdmN2M3MWY0YWQ1MmJlNDQ2NzU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4CA4F95"/>
    <w:rsid w:val="08E81E4C"/>
    <w:rsid w:val="0911242E"/>
    <w:rsid w:val="102C637D"/>
    <w:rsid w:val="156133FE"/>
    <w:rsid w:val="2D2A31A3"/>
    <w:rsid w:val="3AED4F4D"/>
    <w:rsid w:val="4E0E667B"/>
    <w:rsid w:val="559422AF"/>
    <w:rsid w:val="693F4904"/>
    <w:rsid w:val="78C6403B"/>
    <w:rsid w:val="79DE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line="360" w:lineRule="auto"/>
      <w:ind w:firstLine="420" w:firstLineChars="200"/>
      <w:jc w:val="both"/>
    </w:pPr>
    <w:rPr>
      <w:rFonts w:ascii="Arial" w:hAnsi="Times New Roman" w:eastAsia="仿宋_GB2312" w:cs="Times New Roman"/>
      <w:kern w:val="0"/>
      <w:sz w:val="20"/>
      <w:szCs w:val="22"/>
      <w:lang w:val="en-US" w:eastAsia="zh-CN" w:bidi="ar-SA"/>
    </w:rPr>
  </w:style>
  <w:style w:type="paragraph" w:styleId="3">
    <w:name w:val="Body Text Indent"/>
    <w:basedOn w:val="1"/>
    <w:next w:val="4"/>
    <w:qFormat/>
    <w:uiPriority w:val="0"/>
    <w:pPr>
      <w:widowControl w:val="0"/>
      <w:spacing w:line="360" w:lineRule="auto"/>
      <w:ind w:firstLine="480" w:firstLineChars="200"/>
      <w:jc w:val="both"/>
    </w:pPr>
    <w:rPr>
      <w:rFonts w:ascii="Arial" w:hAnsi="Times New Roman" w:eastAsia="仿宋_GB2312" w:cs="Times New Roman"/>
      <w:kern w:val="2"/>
      <w:sz w:val="24"/>
      <w:szCs w:val="24"/>
      <w:lang w:val="en-US" w:eastAsia="zh-CN" w:bidi="ar-SA"/>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9685</Words>
  <Characters>10456</Characters>
  <Lines>46</Lines>
  <Paragraphs>13</Paragraphs>
  <TotalTime>9</TotalTime>
  <ScaleCrop>false</ScaleCrop>
  <LinksUpToDate>false</LinksUpToDate>
  <CharactersWithSpaces>10743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雨城</cp:lastModifiedBy>
  <dcterms:modified xsi:type="dcterms:W3CDTF">2024-12-18T10:45:35Z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E3810BEA05794B838C51D35A97F303D9_12</vt:lpwstr>
  </property>
</Properties>
</file>